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5.png" ContentType="image/png"/>
  <Override PartName="/word/media/rId517.png" ContentType="image/png"/>
  <Override PartName="/word/media/rId519.png" ContentType="image/png"/>
  <Override PartName="/word/media/rId521.png" ContentType="image/png"/>
  <Override PartName="/word/media/rId533.png" ContentType="image/png"/>
  <Override PartName="/word/media/rId528.png" ContentType="image/png"/>
  <Override PartName="/word/media/rId525.png" ContentType="image/png"/>
  <Override PartName="/word/media/rId526.png" ContentType="image/png"/>
  <Override PartName="/word/media/rId520.png" ContentType="image/png"/>
  <Override PartName="/word/media/rId535.png" ContentType="image/png"/>
  <Override PartName="/word/media/rId620.png" ContentType="image/png"/>
  <Override PartName="/word/media/rId622.png" ContentType="image/png"/>
  <Override PartName="/word/media/rId670.png" ContentType="image/png"/>
  <Override PartName="/word/media/rId672.png" ContentType="image/png"/>
  <Override PartName="/word/media/rId675.png" ContentType="image/png"/>
  <Override PartName="/word/media/rId673.png" ContentType="image/png"/>
  <Override PartName="/word/media/rId677.png" ContentType="image/png"/>
  <Override PartName="/word/media/rId678.png" ContentType="image/png"/>
  <Override PartName="/word/media/rId6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1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492"/>
    <w:bookmarkStart w:id="494" w:name="X26e5d87161aa984fab18df5fc4aae9ccd371338"/>
    <w:p>
      <w:pPr>
        <w:pStyle w:val="Heading2"/>
      </w:pPr>
      <w:r>
        <w:rPr>
          <w:rStyle w:val="SectionNumber"/>
        </w:rPr>
        <w:t xml:space="preserve">15.3</w:t>
      </w:r>
      <w:r>
        <w:tab/>
      </w:r>
      <w:r>
        <w:t xml:space="preserve">What kinds of questions can chromatin answer?</w:t>
      </w:r>
    </w:p>
    <w:p>
      <w:pPr>
        <w:numPr>
          <w:ilvl w:val="0"/>
          <w:numId w:val="1089"/>
        </w:numPr>
        <w:pStyle w:val="Compact"/>
      </w:pPr>
      <w:r>
        <w:t xml:space="preserve">How are genes turned on and off in response to developmental cues or environmental stimuli?</w:t>
      </w:r>
    </w:p>
    <w:p>
      <w:pPr>
        <w:numPr>
          <w:ilvl w:val="0"/>
          <w:numId w:val="1089"/>
        </w:numPr>
        <w:pStyle w:val="Compact"/>
      </w:pPr>
      <w:r>
        <w:t xml:space="preserve">What are the mechanisms by which chromatin structure is altered during cell differentiation and development?</w:t>
      </w:r>
    </w:p>
    <w:p>
      <w:pPr>
        <w:numPr>
          <w:ilvl w:val="0"/>
          <w:numId w:val="1089"/>
        </w:numPr>
        <w:pStyle w:val="Compact"/>
      </w:pPr>
      <w:r>
        <w:t xml:space="preserve">How do epigenetic modifications, such as DNA methylation and histone modifications, affect chromatin structure and gene expression?</w:t>
      </w:r>
    </w:p>
    <w:p>
      <w:pPr>
        <w:numPr>
          <w:ilvl w:val="0"/>
          <w:numId w:val="1089"/>
        </w:numPr>
        <w:pStyle w:val="Compact"/>
      </w:pPr>
      <w:r>
        <w:t xml:space="preserve">How does chromatin structure influence the binding of transcription factors and other regulatory proteins to specific regions of the genome?</w:t>
      </w:r>
    </w:p>
    <w:p>
      <w:pPr>
        <w:numPr>
          <w:ilvl w:val="0"/>
          <w:numId w:val="1089"/>
        </w:numPr>
        <w:pStyle w:val="Compact"/>
      </w:pPr>
      <w:r>
        <w:t xml:space="preserve">How is chromatin structure altered in diseases such as cancer, and how can this knowledge be used to develop new therapies?</w:t>
      </w:r>
    </w:p>
    <w:p>
      <w:pPr>
        <w:numPr>
          <w:ilvl w:val="0"/>
          <w:numId w:val="1089"/>
        </w:numPr>
        <w:pStyle w:val="Compact"/>
      </w:pPr>
      <w:r>
        <w:t xml:space="preserve">How can we manipulate chromatin structure to selectively activate or repress specific genes, and what are the potential applications of such approaches?</w:t>
      </w:r>
    </w:p>
    <w:bookmarkStart w:id="49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09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09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09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09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09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09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493"/>
    <w:bookmarkEnd w:id="494"/>
    <w:bookmarkStart w:id="51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496" w:name="when-to-use-atac-seq"/>
    <w:p>
      <w:pPr>
        <w:pStyle w:val="Heading4"/>
      </w:pPr>
      <w:r>
        <w:rPr>
          <w:rStyle w:val="SectionNumber"/>
        </w:rPr>
        <w:t xml:space="preserve">15.4.1.1</w:t>
      </w:r>
      <w:r>
        <w:tab/>
      </w:r>
      <w:r>
        <w:t xml:space="preserve">When to use ATAC-seq:</w:t>
      </w:r>
    </w:p>
    <w:p>
      <w:pPr>
        <w:numPr>
          <w:ilvl w:val="0"/>
          <w:numId w:val="1091"/>
        </w:numPr>
        <w:pStyle w:val="Compact"/>
      </w:pPr>
      <w:r>
        <w:t xml:space="preserve">When you want to study the epigenetic regulation of gene expression.</w:t>
      </w:r>
    </w:p>
    <w:p>
      <w:pPr>
        <w:numPr>
          <w:ilvl w:val="0"/>
          <w:numId w:val="1091"/>
        </w:numPr>
        <w:pStyle w:val="Compact"/>
      </w:pPr>
      <w:r>
        <w:t xml:space="preserve">When you want to identify open chromatin regions associated with regulatory elements such as enhancers and promoters.</w:t>
      </w:r>
    </w:p>
    <w:p>
      <w:pPr>
        <w:numPr>
          <w:ilvl w:val="0"/>
          <w:numId w:val="1091"/>
        </w:numPr>
        <w:pStyle w:val="Compact"/>
      </w:pPr>
      <w:r>
        <w:t xml:space="preserve">When you want to study various cell types and tissues, including difficult-to-access cell types.</w:t>
      </w:r>
    </w:p>
    <w:bookmarkEnd w:id="496"/>
    <w:bookmarkStart w:id="497" w:name="advantages"/>
    <w:p>
      <w:pPr>
        <w:pStyle w:val="Heading4"/>
      </w:pPr>
      <w:r>
        <w:rPr>
          <w:rStyle w:val="SectionNumber"/>
        </w:rPr>
        <w:t xml:space="preserve">15.4.1.2</w:t>
      </w:r>
      <w:r>
        <w:tab/>
      </w:r>
      <w:r>
        <w:t xml:space="preserve">Advantages:</w:t>
      </w:r>
    </w:p>
    <w:p>
      <w:pPr>
        <w:numPr>
          <w:ilvl w:val="0"/>
          <w:numId w:val="1092"/>
        </w:numPr>
        <w:pStyle w:val="Compact"/>
      </w:pPr>
      <w:r>
        <w:t xml:space="preserve">ATAC-seq is a simple and cost-effective technique that requires a low amount of starting material.</w:t>
      </w:r>
    </w:p>
    <w:p>
      <w:pPr>
        <w:numPr>
          <w:ilvl w:val="0"/>
          <w:numId w:val="1092"/>
        </w:numPr>
        <w:pStyle w:val="Compact"/>
      </w:pPr>
      <w:r>
        <w:t xml:space="preserve">It allows the identification of open chromatin regions, which are usually associated with regulatory elements such as enhancers and promoters.</w:t>
      </w:r>
    </w:p>
    <w:p>
      <w:pPr>
        <w:numPr>
          <w:ilvl w:val="0"/>
          <w:numId w:val="1092"/>
        </w:numPr>
        <w:pStyle w:val="Compact"/>
      </w:pPr>
      <w:r>
        <w:t xml:space="preserve">ATAC-seq can be used to study various cell types and tissues, including difficult-to-access cell types.</w:t>
      </w:r>
    </w:p>
    <w:bookmarkEnd w:id="497"/>
    <w:bookmarkStart w:id="498" w:name="disadvantages"/>
    <w:p>
      <w:pPr>
        <w:pStyle w:val="Heading4"/>
      </w:pPr>
      <w:r>
        <w:rPr>
          <w:rStyle w:val="SectionNumber"/>
        </w:rPr>
        <w:t xml:space="preserve">15.4.1.3</w:t>
      </w:r>
      <w:r>
        <w:tab/>
      </w:r>
      <w:r>
        <w:t xml:space="preserve">Disadvantages:</w:t>
      </w:r>
    </w:p>
    <w:p>
      <w:pPr>
        <w:numPr>
          <w:ilvl w:val="0"/>
          <w:numId w:val="1093"/>
        </w:numPr>
        <w:pStyle w:val="Compact"/>
      </w:pPr>
      <w:r>
        <w:t xml:space="preserve">ATAC-seq can have high background noise due to non-specific cleavage of chromatin.</w:t>
      </w:r>
    </w:p>
    <w:p>
      <w:pPr>
        <w:numPr>
          <w:ilvl w:val="0"/>
          <w:numId w:val="1093"/>
        </w:numPr>
        <w:pStyle w:val="Compact"/>
      </w:pPr>
      <w:r>
        <w:t xml:space="preserve">It may miss lowly accessible regions due to a bias towards highly accessible regions.</w:t>
      </w:r>
    </w:p>
    <w:p>
      <w:pPr>
        <w:numPr>
          <w:ilvl w:val="0"/>
          <w:numId w:val="1093"/>
        </w:numPr>
        <w:pStyle w:val="Compact"/>
      </w:pPr>
      <w:r>
        <w:t xml:space="preserve">It is difficult to identify the specific regulatory elements that are associated with open chromatin regions.</w:t>
      </w:r>
    </w:p>
    <w:bookmarkEnd w:id="498"/>
    <w:bookmarkEnd w:id="499"/>
    <w:bookmarkStart w:id="50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00" w:name="when-to-use-single-cell-atac-seq"/>
    <w:p>
      <w:pPr>
        <w:pStyle w:val="Heading4"/>
      </w:pPr>
      <w:r>
        <w:rPr>
          <w:rStyle w:val="SectionNumber"/>
        </w:rPr>
        <w:t xml:space="preserve">15.4.2.1</w:t>
      </w:r>
      <w:r>
        <w:tab/>
      </w:r>
      <w:r>
        <w:t xml:space="preserve">When to use single-cell ATAC-seq:</w:t>
      </w:r>
    </w:p>
    <w:p>
      <w:pPr>
        <w:numPr>
          <w:ilvl w:val="0"/>
          <w:numId w:val="1094"/>
        </w:numPr>
        <w:pStyle w:val="Compact"/>
      </w:pPr>
      <w:r>
        <w:t xml:space="preserve">When you want to study the epigenetic heterogeneity between cells and identify cell-specific regulatory elements.</w:t>
      </w:r>
    </w:p>
    <w:p>
      <w:pPr>
        <w:numPr>
          <w:ilvl w:val="0"/>
          <w:numId w:val="1094"/>
        </w:numPr>
        <w:pStyle w:val="Compact"/>
      </w:pPr>
      <w:r>
        <w:t xml:space="preserve">When you want to identify rare cell types or rare cell states that may be missed by bulk techniques.</w:t>
      </w:r>
    </w:p>
    <w:p>
      <w:pPr>
        <w:numPr>
          <w:ilvl w:val="0"/>
          <w:numId w:val="1094"/>
        </w:numPr>
        <w:pStyle w:val="Compact"/>
      </w:pPr>
      <w:r>
        <w:t xml:space="preserve">When you want to study the epigenetic dynamics of cells in response to environmental changes.</w:t>
      </w:r>
    </w:p>
    <w:bookmarkEnd w:id="500"/>
    <w:bookmarkStart w:id="501" w:name="advantages-1"/>
    <w:p>
      <w:pPr>
        <w:pStyle w:val="Heading4"/>
      </w:pPr>
      <w:r>
        <w:rPr>
          <w:rStyle w:val="SectionNumber"/>
        </w:rPr>
        <w:t xml:space="preserve">15.4.2.2</w:t>
      </w:r>
      <w:r>
        <w:tab/>
      </w:r>
      <w:r>
        <w:t xml:space="preserve">Advantages:</w:t>
      </w:r>
    </w:p>
    <w:p>
      <w:pPr>
        <w:numPr>
          <w:ilvl w:val="0"/>
          <w:numId w:val="1095"/>
        </w:numPr>
        <w:pStyle w:val="Compact"/>
      </w:pPr>
      <w:r>
        <w:t xml:space="preserve">Single-cell ATAC-seq allows the identification of open chromatin regions in individual cells, which provides cell-specific epigenetic information.</w:t>
      </w:r>
    </w:p>
    <w:p>
      <w:pPr>
        <w:numPr>
          <w:ilvl w:val="0"/>
          <w:numId w:val="1095"/>
        </w:numPr>
        <w:pStyle w:val="Compact"/>
      </w:pPr>
      <w:r>
        <w:t xml:space="preserve">It can identify rare cell types and rare cell states that may be missed by bulk techniques.</w:t>
      </w:r>
    </w:p>
    <w:p>
      <w:pPr>
        <w:numPr>
          <w:ilvl w:val="0"/>
          <w:numId w:val="1095"/>
        </w:numPr>
        <w:pStyle w:val="Compact"/>
      </w:pPr>
      <w:r>
        <w:t xml:space="preserve">It can be used to study the epigenetic dynamics of cells in response to environmental changes.</w:t>
      </w:r>
    </w:p>
    <w:bookmarkEnd w:id="501"/>
    <w:bookmarkStart w:id="502" w:name="disadvantages-1"/>
    <w:p>
      <w:pPr>
        <w:pStyle w:val="Heading4"/>
      </w:pPr>
      <w:r>
        <w:rPr>
          <w:rStyle w:val="SectionNumber"/>
        </w:rPr>
        <w:t xml:space="preserve">15.4.2.3</w:t>
      </w:r>
      <w:r>
        <w:tab/>
      </w:r>
      <w:r>
        <w:t xml:space="preserve">Disadvantages:</w:t>
      </w:r>
    </w:p>
    <w:p>
      <w:pPr>
        <w:numPr>
          <w:ilvl w:val="0"/>
          <w:numId w:val="1096"/>
        </w:numPr>
        <w:pStyle w:val="Compact"/>
      </w:pPr>
      <w:r>
        <w:t xml:space="preserve">Single-cell ATAC-seq can have a higher level of technical noise due to the low amount of starting material.</w:t>
      </w:r>
    </w:p>
    <w:p>
      <w:pPr>
        <w:numPr>
          <w:ilvl w:val="0"/>
          <w:numId w:val="1096"/>
        </w:numPr>
        <w:pStyle w:val="Compact"/>
      </w:pPr>
      <w:r>
        <w:t xml:space="preserve">It can be challenging to obtain high-quality single-cell suspensions from tissues.</w:t>
      </w:r>
    </w:p>
    <w:p>
      <w:pPr>
        <w:numPr>
          <w:ilvl w:val="0"/>
          <w:numId w:val="1096"/>
        </w:numPr>
        <w:pStyle w:val="Compact"/>
      </w:pPr>
      <w:r>
        <w:t xml:space="preserve">It can be difficult to analyze the large amount of data generated by single-cell sequencing techniques.</w:t>
      </w:r>
    </w:p>
    <w:bookmarkEnd w:id="502"/>
    <w:bookmarkEnd w:id="503"/>
    <w:bookmarkStart w:id="50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04" w:name="advantages-2"/>
    <w:p>
      <w:pPr>
        <w:pStyle w:val="Heading4"/>
      </w:pPr>
      <w:r>
        <w:rPr>
          <w:rStyle w:val="SectionNumber"/>
        </w:rPr>
        <w:t xml:space="preserve">15.4.3.1</w:t>
      </w:r>
      <w:r>
        <w:tab/>
      </w:r>
      <w:r>
        <w:t xml:space="preserve">Advantages:</w:t>
      </w:r>
    </w:p>
    <w:p>
      <w:pPr>
        <w:numPr>
          <w:ilvl w:val="0"/>
          <w:numId w:val="1097"/>
        </w:numPr>
        <w:pStyle w:val="Compact"/>
      </w:pPr>
      <w:r>
        <w:t xml:space="preserve">ChIP-seq allows the identification of specific protein-DNA interactions, which provides information on the regulation of gene expression.</w:t>
      </w:r>
    </w:p>
    <w:p>
      <w:pPr>
        <w:numPr>
          <w:ilvl w:val="0"/>
          <w:numId w:val="1097"/>
        </w:numPr>
        <w:pStyle w:val="Compact"/>
      </w:pPr>
      <w:r>
        <w:t xml:space="preserve">It can be used to study the epigenetic changes associated with specific cellular processes, such as differentiation or development.</w:t>
      </w:r>
    </w:p>
    <w:p>
      <w:pPr>
        <w:numPr>
          <w:ilvl w:val="0"/>
          <w:numId w:val="1097"/>
        </w:numPr>
        <w:pStyle w:val="Compact"/>
      </w:pPr>
      <w:r>
        <w:t xml:space="preserve">ChIP-seq can identify the binding sites of transcription factors, which can be used to identify regulatory elements such as enhancers and promoters.</w:t>
      </w:r>
    </w:p>
    <w:bookmarkEnd w:id="504"/>
    <w:bookmarkStart w:id="505" w:name="disadvantages-2"/>
    <w:p>
      <w:pPr>
        <w:pStyle w:val="Heading4"/>
      </w:pPr>
      <w:r>
        <w:rPr>
          <w:rStyle w:val="SectionNumber"/>
        </w:rPr>
        <w:t xml:space="preserve">15.4.3.2</w:t>
      </w:r>
      <w:r>
        <w:tab/>
      </w:r>
      <w:r>
        <w:t xml:space="preserve">Disadvantages:</w:t>
      </w:r>
    </w:p>
    <w:p>
      <w:pPr>
        <w:numPr>
          <w:ilvl w:val="0"/>
          <w:numId w:val="1098"/>
        </w:numPr>
        <w:pStyle w:val="Compact"/>
      </w:pPr>
      <w:r>
        <w:t xml:space="preserve">ChIP-seq requires a high amount of starting material and can be costly.</w:t>
      </w:r>
    </w:p>
    <w:p>
      <w:pPr>
        <w:numPr>
          <w:ilvl w:val="0"/>
          <w:numId w:val="1098"/>
        </w:numPr>
        <w:pStyle w:val="Compact"/>
      </w:pPr>
      <w:r>
        <w:t xml:space="preserve">It can have a high level of background noise due to non-specific binding of antibodies.</w:t>
      </w:r>
    </w:p>
    <w:p>
      <w:pPr>
        <w:numPr>
          <w:ilvl w:val="0"/>
          <w:numId w:val="1098"/>
        </w:numPr>
        <w:pStyle w:val="Compact"/>
      </w:pPr>
      <w:r>
        <w:t xml:space="preserve">It can be challenging to perform</w:t>
      </w:r>
    </w:p>
    <w:bookmarkEnd w:id="505"/>
    <w:bookmarkEnd w:id="506"/>
    <w:bookmarkStart w:id="50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0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099"/>
        </w:numPr>
        <w:pStyle w:val="Compact"/>
      </w:pPr>
      <w:r>
        <w:t xml:space="preserve">CUT&amp;RUN requires a lower amount of starting material and can be performed more quickly than ChIP-seq.</w:t>
      </w:r>
    </w:p>
    <w:p>
      <w:pPr>
        <w:numPr>
          <w:ilvl w:val="0"/>
          <w:numId w:val="1099"/>
        </w:numPr>
        <w:pStyle w:val="Compact"/>
      </w:pPr>
      <w:r>
        <w:t xml:space="preserve">CUT&amp;RUN produces less background noise, as the DNA is cleaved in situ, rather than being fragmented by sonication or other methods.</w:t>
      </w:r>
    </w:p>
    <w:p>
      <w:pPr>
        <w:numPr>
          <w:ilvl w:val="0"/>
          <w:numId w:val="1099"/>
        </w:numPr>
        <w:pStyle w:val="Compact"/>
      </w:pPr>
      <w:r>
        <w:t xml:space="preserve">CUT&amp;RUN can be used to study chromatin-associated proteins that may not be easily solubilized for ChIP-seq.</w:t>
      </w:r>
    </w:p>
    <w:bookmarkEnd w:id="507"/>
    <w:bookmarkEnd w:id="508"/>
    <w:bookmarkStart w:id="51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09" w:name="how-cuttag-works"/>
    <w:p>
      <w:pPr>
        <w:pStyle w:val="Heading4"/>
      </w:pPr>
      <w:r>
        <w:rPr>
          <w:rStyle w:val="SectionNumber"/>
        </w:rPr>
        <w:t xml:space="preserve">15.4.5.1</w:t>
      </w:r>
      <w:r>
        <w:tab/>
      </w:r>
      <w:r>
        <w:t xml:space="preserve">How CUT&amp;Tag works:</w:t>
      </w:r>
    </w:p>
    <w:p>
      <w:pPr>
        <w:numPr>
          <w:ilvl w:val="0"/>
          <w:numId w:val="1100"/>
        </w:numPr>
        <w:pStyle w:val="Compact"/>
      </w:pPr>
      <w:r>
        <w:t xml:space="preserve">Cells are permeabilized and incubated with a specific antibody or protein of interest, which is fused to a protein called Protein A-Tn5 transposase.</w:t>
      </w:r>
    </w:p>
    <w:p>
      <w:pPr>
        <w:numPr>
          <w:ilvl w:val="0"/>
          <w:numId w:val="1100"/>
        </w:numPr>
        <w:pStyle w:val="Compact"/>
      </w:pPr>
      <w:r>
        <w:t xml:space="preserve">The Protein A-Tn5 transposase inserts sequencing adapters into the genomic DNA in the vicinity of the bound antibody or protein of interest.</w:t>
      </w:r>
    </w:p>
    <w:p>
      <w:pPr>
        <w:numPr>
          <w:ilvl w:val="0"/>
          <w:numId w:val="110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09"/>
    <w:bookmarkStart w:id="510" w:name="advantages-3"/>
    <w:p>
      <w:pPr>
        <w:pStyle w:val="Heading4"/>
      </w:pPr>
      <w:r>
        <w:rPr>
          <w:rStyle w:val="SectionNumber"/>
        </w:rPr>
        <w:t xml:space="preserve">15.4.5.2</w:t>
      </w:r>
      <w:r>
        <w:tab/>
      </w:r>
      <w:r>
        <w:t xml:space="preserve">Advantages:</w:t>
      </w:r>
    </w:p>
    <w:p>
      <w:pPr>
        <w:numPr>
          <w:ilvl w:val="0"/>
          <w:numId w:val="1101"/>
        </w:numPr>
        <w:pStyle w:val="Compact"/>
      </w:pPr>
      <w:r>
        <w:t xml:space="preserve">CUT&amp;Tag has a lower level of background noise and higher sensitivity due to the addition of sequencing adapters in situ.</w:t>
      </w:r>
    </w:p>
    <w:p>
      <w:pPr>
        <w:numPr>
          <w:ilvl w:val="0"/>
          <w:numId w:val="1101"/>
        </w:numPr>
        <w:pStyle w:val="Compact"/>
      </w:pPr>
      <w:r>
        <w:t xml:space="preserve">CUT&amp;Tag requires less input material than CUT&amp;RUN, which makes it a more efficient method.</w:t>
      </w:r>
    </w:p>
    <w:p>
      <w:pPr>
        <w:numPr>
          <w:ilvl w:val="0"/>
          <w:numId w:val="110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10"/>
    <w:bookmarkEnd w:id="511"/>
    <w:bookmarkStart w:id="51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12"/>
    <w:bookmarkStart w:id="514" w:name="how-gro-seq-works"/>
    <w:p>
      <w:pPr>
        <w:pStyle w:val="Heading3"/>
      </w:pPr>
      <w:r>
        <w:rPr>
          <w:rStyle w:val="SectionNumber"/>
        </w:rPr>
        <w:t xml:space="preserve">15.4.7</w:t>
      </w:r>
      <w:r>
        <w:tab/>
      </w:r>
      <w:r>
        <w:t xml:space="preserve">How GRO-seq works:</w:t>
      </w:r>
    </w:p>
    <w:p>
      <w:pPr>
        <w:numPr>
          <w:ilvl w:val="0"/>
          <w:numId w:val="1102"/>
        </w:numPr>
        <w:pStyle w:val="Compact"/>
      </w:pPr>
      <w:r>
        <w:t xml:space="preserve">Nuclei are isolated from cells and incubated with a biotinylated nucleotide triphosphate, which is incorporated into nascent RNA transcripts by RNA polymerase.</w:t>
      </w:r>
    </w:p>
    <w:p>
      <w:pPr>
        <w:numPr>
          <w:ilvl w:val="0"/>
          <w:numId w:val="1102"/>
        </w:numPr>
        <w:pStyle w:val="Compact"/>
      </w:pPr>
      <w:r>
        <w:t xml:space="preserve">The labeled RNA is then selectively captured using streptavidin beads, and the RNA is reverse-transcribed into cDNA.</w:t>
      </w:r>
    </w:p>
    <w:p>
      <w:pPr>
        <w:numPr>
          <w:ilvl w:val="0"/>
          <w:numId w:val="1102"/>
        </w:numPr>
        <w:pStyle w:val="Compact"/>
      </w:pPr>
      <w:r>
        <w:t xml:space="preserve">The cDNA is then sequenced to identify the regions of the genome that are actively transcribed.</w:t>
      </w:r>
    </w:p>
    <w:bookmarkStart w:id="513" w:name="advantages-4"/>
    <w:p>
      <w:pPr>
        <w:pStyle w:val="Heading4"/>
      </w:pPr>
      <w:r>
        <w:rPr>
          <w:rStyle w:val="SectionNumber"/>
        </w:rPr>
        <w:t xml:space="preserve">15.4.7.1</w:t>
      </w:r>
      <w:r>
        <w:tab/>
      </w:r>
      <w:r>
        <w:t xml:space="preserve">Advantages:</w:t>
      </w:r>
    </w:p>
    <w:p>
      <w:pPr>
        <w:numPr>
          <w:ilvl w:val="0"/>
          <w:numId w:val="1103"/>
        </w:numPr>
        <w:pStyle w:val="Compact"/>
      </w:pPr>
      <w:r>
        <w:t xml:space="preserve">Its ability to distinguish between the sense and antisense strands of transcribed RNA</w:t>
      </w:r>
    </w:p>
    <w:p>
      <w:pPr>
        <w:numPr>
          <w:ilvl w:val="0"/>
          <w:numId w:val="1103"/>
        </w:numPr>
        <w:pStyle w:val="Compact"/>
      </w:pPr>
      <w:r>
        <w:t xml:space="preserve">Its ability to quantify the level of transcriptional activity in individual genes</w:t>
      </w:r>
    </w:p>
    <w:p>
      <w:pPr>
        <w:numPr>
          <w:ilvl w:val="0"/>
          <w:numId w:val="110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13"/>
    <w:bookmarkEnd w:id="514"/>
    <w:bookmarkEnd w:id="515"/>
    <w:bookmarkEnd w:id="516"/>
    <w:bookmarkStart w:id="57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2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41" w:name="data-quality-metrics"/>
    <w:p>
      <w:pPr>
        <w:pStyle w:val="Heading3"/>
      </w:pPr>
      <w:r>
        <w:rPr>
          <w:rStyle w:val="SectionNumber"/>
        </w:rPr>
        <w:t xml:space="preserve">16.3.1</w:t>
      </w:r>
      <w:r>
        <w:tab/>
      </w:r>
      <w:r>
        <w:t xml:space="preserve">Data quality metrics:</w:t>
      </w:r>
    </w:p>
    <w:bookmarkStart w:id="524" w:name="pre-sequencing-qc"/>
    <w:p>
      <w:pPr>
        <w:pStyle w:val="Heading4"/>
      </w:pPr>
      <w:r>
        <w:rPr>
          <w:rStyle w:val="SectionNumber"/>
        </w:rPr>
        <w:t xml:space="preserve">16.3.1.1</w:t>
      </w:r>
      <w:r>
        <w:tab/>
      </w:r>
      <w:r>
        <w:t xml:space="preserve">Pre-sequencing QC:</w:t>
      </w:r>
    </w:p>
    <w:bookmarkEnd w:id="524"/>
    <w:bookmarkStart w:id="52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bookmarkEnd w:id="527"/>
    <w:bookmarkStart w:id="52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04"/>
        </w:numPr>
        <w:pStyle w:val="Compact"/>
      </w:pPr>
      <w:r>
        <w:t xml:space="preserve">Use fasterq-dump to download files from NCBI Sequence Read Archive - this tool will automatically split the reads in multiple files</w:t>
      </w:r>
    </w:p>
    <w:bookmarkEnd w:id="529"/>
    <w:bookmarkStart w:id="53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3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31"/>
    <w:bookmarkStart w:id="53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32"/>
    <w:bookmarkStart w:id="53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34"/>
    <w:bookmarkStart w:id="53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36"/>
    <w:bookmarkStart w:id="53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37"/>
    <w:bookmarkStart w:id="53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38">
        <w:r>
          <w:rPr>
            <w:rStyle w:val="Hyperlink"/>
          </w:rPr>
          <w:t xml:space="preserve">http://cistrome.org/db/</w:t>
        </w:r>
      </w:hyperlink>
      <w:r>
        <w:t xml:space="preserve">].</w:t>
      </w:r>
    </w:p>
    <w:bookmarkEnd w:id="539"/>
    <w:bookmarkStart w:id="54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40"/>
    <w:bookmarkEnd w:id="541"/>
    <w:bookmarkStart w:id="549" w:name="information-from-atac-seq-analysis"/>
    <w:p>
      <w:pPr>
        <w:pStyle w:val="Heading3"/>
      </w:pPr>
      <w:r>
        <w:rPr>
          <w:rStyle w:val="SectionNumber"/>
        </w:rPr>
        <w:t xml:space="preserve">16.3.2</w:t>
      </w:r>
      <w:r>
        <w:tab/>
      </w:r>
      <w:r>
        <w:t xml:space="preserve">Information from ATAC-seq analysis:</w:t>
      </w:r>
    </w:p>
    <w:bookmarkStart w:id="542" w:name="major-approaches"/>
    <w:p>
      <w:pPr>
        <w:pStyle w:val="Heading4"/>
      </w:pPr>
      <w:r>
        <w:rPr>
          <w:rStyle w:val="SectionNumber"/>
        </w:rPr>
        <w:t xml:space="preserve">16.3.2.1</w:t>
      </w:r>
      <w:r>
        <w:tab/>
      </w:r>
      <w:r>
        <w:t xml:space="preserve">Major approaches:</w:t>
      </w:r>
    </w:p>
    <w:p>
      <w:pPr>
        <w:numPr>
          <w:ilvl w:val="0"/>
          <w:numId w:val="1105"/>
        </w:numPr>
        <w:pStyle w:val="Compact"/>
      </w:pPr>
      <w:r>
        <w:t xml:space="preserve">Compare changes in transcription factor motif enrichment in accessible regions between samples</w:t>
      </w:r>
    </w:p>
    <w:p>
      <w:pPr>
        <w:numPr>
          <w:ilvl w:val="0"/>
          <w:numId w:val="1105"/>
        </w:numPr>
        <w:pStyle w:val="Compact"/>
      </w:pPr>
      <w:r>
        <w:t xml:space="preserve">Compare changes in accessibility of regions (differential accessibility) between samples</w:t>
      </w:r>
    </w:p>
    <w:p>
      <w:pPr>
        <w:numPr>
          <w:ilvl w:val="0"/>
          <w:numId w:val="1105"/>
        </w:numPr>
        <w:pStyle w:val="Compact"/>
      </w:pPr>
      <w:r>
        <w:t xml:space="preserve">Footprinting - identify regions where insertion is below expected level</w:t>
      </w:r>
    </w:p>
    <w:bookmarkEnd w:id="542"/>
    <w:bookmarkStart w:id="54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43"/>
    <w:bookmarkStart w:id="54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44">
        <w:r>
          <w:rPr>
            <w:rStyle w:val="Hyperlink"/>
          </w:rPr>
          <w:t xml:space="preserve">The MEME suite</w:t>
        </w:r>
      </w:hyperlink>
      <w:r>
        <w:t xml:space="preserve"> </w:t>
      </w:r>
      <w:r>
        <w:t xml:space="preserve">has a variety of tools for motif analysis available in both web and command-line versions.</w:t>
      </w:r>
    </w:p>
    <w:bookmarkEnd w:id="545"/>
    <w:bookmarkStart w:id="54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46"/>
    <w:bookmarkStart w:id="54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47"/>
    <w:bookmarkStart w:id="54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48"/>
    <w:bookmarkEnd w:id="549"/>
    <w:bookmarkEnd w:id="550"/>
    <w:bookmarkStart w:id="55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0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06"/>
        </w:numPr>
        <w:pStyle w:val="Compact"/>
      </w:pPr>
      <w:r>
        <w:t xml:space="preserve">In principle, ATAC-seq can identify a large proportion of cis-regulatory elements.</w:t>
      </w:r>
    </w:p>
    <w:p>
      <w:pPr>
        <w:numPr>
          <w:ilvl w:val="0"/>
          <w:numId w:val="1106"/>
        </w:numPr>
        <w:pStyle w:val="Compact"/>
      </w:pPr>
      <w:r>
        <w:t xml:space="preserve">In contrast to ChIP-seq, ATAC-seq does not require specific antibodies- ATAC-seq is a time-efficient protocol which requires low cell input.</w:t>
      </w:r>
    </w:p>
    <w:p>
      <w:pPr>
        <w:numPr>
          <w:ilvl w:val="0"/>
          <w:numId w:val="110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51"/>
    <w:bookmarkStart w:id="55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0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07"/>
        </w:numPr>
        <w:pStyle w:val="Compact"/>
      </w:pPr>
      <w:r>
        <w:t xml:space="preserve">Whereas ATAC-seq indicates the presence of a putative cis-regulatory element, H3K27ac ChIP-seq is able to separate accessible regions from those that are accessible and active.</w:t>
      </w:r>
    </w:p>
    <w:p>
      <w:pPr>
        <w:numPr>
          <w:ilvl w:val="0"/>
          <w:numId w:val="1107"/>
        </w:numPr>
        <w:pStyle w:val="Compact"/>
      </w:pPr>
      <w:r>
        <w:t xml:space="preserve">Accessible regions are not necessarily cis-regulatory regions, although many of them are.</w:t>
      </w:r>
    </w:p>
    <w:p>
      <w:pPr>
        <w:numPr>
          <w:ilvl w:val="0"/>
          <w:numId w:val="1107"/>
        </w:numPr>
        <w:pStyle w:val="Compact"/>
      </w:pPr>
      <w:r>
        <w:t xml:space="preserve">The genes that are regulated by cis-regulatory elements cannot be identified conclusively by ATAC-seq alone.</w:t>
      </w:r>
    </w:p>
    <w:p>
      <w:pPr>
        <w:numPr>
          <w:ilvl w:val="0"/>
          <w:numId w:val="110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52"/>
    <w:bookmarkStart w:id="55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53"/>
    <w:bookmarkStart w:id="55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08"/>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9"/>
        </w:numPr>
        <w:pStyle w:val="Compact"/>
      </w:pPr>
      <w:r>
        <w:rPr>
          <w:bCs/>
          <w:b/>
        </w:rPr>
        <w:t xml:space="preserve">Cons</w:t>
      </w:r>
      <w:r>
        <w:t xml:space="preserve">: assumes that all peaks have the same shape, may not be as accurate as other peak-calling tools in some cases.</w:t>
      </w:r>
    </w:p>
    <w:p>
      <w:pPr>
        <w:numPr>
          <w:ilvl w:val="0"/>
          <w:numId w:val="1108"/>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0"/>
        </w:numPr>
        <w:pStyle w:val="Compact"/>
      </w:pPr>
      <w:r>
        <w:rPr>
          <w:bCs/>
          <w:b/>
        </w:rPr>
        <w:t xml:space="preserve">Cons</w:t>
      </w:r>
      <w:r>
        <w:t xml:space="preserve">: may not be as accurate as other peak-calling tools in some cases.</w:t>
      </w:r>
    </w:p>
    <w:p>
      <w:pPr>
        <w:numPr>
          <w:ilvl w:val="0"/>
          <w:numId w:val="1108"/>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1"/>
        </w:numPr>
        <w:pStyle w:val="Compact"/>
      </w:pPr>
      <w:r>
        <w:rPr>
          <w:bCs/>
          <w:b/>
        </w:rPr>
        <w:t xml:space="preserve">Cons</w:t>
      </w:r>
      <w:r>
        <w:t xml:space="preserve">: does not perform peak-calling or downstream analysis.</w:t>
      </w:r>
    </w:p>
    <w:p>
      <w:pPr>
        <w:numPr>
          <w:ilvl w:val="0"/>
          <w:numId w:val="1108"/>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2"/>
        </w:numPr>
        <w:pStyle w:val="Compact"/>
      </w:pPr>
      <w:r>
        <w:rPr>
          <w:bCs/>
          <w:b/>
        </w:rPr>
        <w:t xml:space="preserve">Cons</w:t>
      </w:r>
      <w:r>
        <w:t xml:space="preserve">: may require some programming skills to use effectively.</w:t>
      </w:r>
    </w:p>
    <w:p>
      <w:pPr>
        <w:numPr>
          <w:ilvl w:val="0"/>
          <w:numId w:val="1108"/>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3"/>
        </w:numPr>
        <w:pStyle w:val="Compact"/>
      </w:pPr>
      <w:r>
        <w:rPr>
          <w:bCs/>
          <w:b/>
        </w:rPr>
        <w:t xml:space="preserve">Cons</w:t>
      </w:r>
      <w:r>
        <w:t xml:space="preserve">: may require more computational resources than other tools.</w:t>
      </w:r>
    </w:p>
    <w:bookmarkEnd w:id="559"/>
    <w:bookmarkStart w:id="56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4"/>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5"/>
        </w:numPr>
        <w:pStyle w:val="Compact"/>
      </w:pPr>
      <w:r>
        <w:rPr>
          <w:bCs/>
          <w:b/>
        </w:rPr>
        <w:t xml:space="preserve">Cons</w:t>
      </w:r>
      <w:r>
        <w:t xml:space="preserve">: assumes that all peaks have the same shape, may not be as accurate as other peak-calling tools in some cases.</w:t>
      </w:r>
    </w:p>
    <w:p>
      <w:pPr>
        <w:numPr>
          <w:ilvl w:val="0"/>
          <w:numId w:val="1114"/>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6"/>
        </w:numPr>
        <w:pStyle w:val="Compact"/>
      </w:pPr>
      <w:r>
        <w:rPr>
          <w:bCs/>
          <w:b/>
        </w:rPr>
        <w:t xml:space="preserve">Cons</w:t>
      </w:r>
      <w:r>
        <w:t xml:space="preserve">: may not be as accurate as other peak-calling tools in some cases.</w:t>
      </w:r>
    </w:p>
    <w:p>
      <w:pPr>
        <w:numPr>
          <w:ilvl w:val="0"/>
          <w:numId w:val="1114"/>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7"/>
        </w:numPr>
        <w:pStyle w:val="Compact"/>
      </w:pPr>
      <w:r>
        <w:rPr>
          <w:bCs/>
          <w:b/>
        </w:rPr>
        <w:t xml:space="preserve">Cons</w:t>
      </w:r>
      <w:r>
        <w:t xml:space="preserve">: does not perform peak-calling or downstream analysis.</w:t>
      </w:r>
    </w:p>
    <w:p>
      <w:pPr>
        <w:numPr>
          <w:ilvl w:val="0"/>
          <w:numId w:val="1114"/>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8"/>
        </w:numPr>
        <w:pStyle w:val="Compact"/>
      </w:pPr>
      <w:r>
        <w:rPr>
          <w:bCs/>
          <w:b/>
        </w:rPr>
        <w:t xml:space="preserve">Cons</w:t>
      </w:r>
      <w:r>
        <w:t xml:space="preserve">: may require some programming skills to use effectively.</w:t>
      </w:r>
    </w:p>
    <w:p>
      <w:pPr>
        <w:numPr>
          <w:ilvl w:val="0"/>
          <w:numId w:val="1114"/>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9"/>
        </w:numPr>
        <w:pStyle w:val="Compact"/>
      </w:pPr>
      <w:r>
        <w:rPr>
          <w:bCs/>
          <w:b/>
        </w:rPr>
        <w:t xml:space="preserve">Cons</w:t>
      </w:r>
      <w:r>
        <w:t xml:space="preserve">: may require more computational resources than other tools.</w:t>
      </w:r>
    </w:p>
    <w:bookmarkEnd w:id="560"/>
    <w:bookmarkStart w:id="566" w:name="additional-tutorials-and-tools-1"/>
    <w:p>
      <w:pPr>
        <w:pStyle w:val="Heading2"/>
      </w:pPr>
      <w:r>
        <w:rPr>
          <w:rStyle w:val="SectionNumber"/>
        </w:rPr>
        <w:t xml:space="preserve">16.9</w:t>
      </w:r>
      <w:r>
        <w:tab/>
      </w:r>
      <w:r>
        <w:t xml:space="preserve">Additional tutorials and tools</w:t>
      </w:r>
    </w:p>
    <w:p>
      <w:pPr>
        <w:numPr>
          <w:ilvl w:val="0"/>
          <w:numId w:val="1120"/>
        </w:numPr>
        <w:pStyle w:val="Compact"/>
      </w:pPr>
      <w:hyperlink r:id="rId56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20"/>
        </w:numPr>
        <w:pStyle w:val="Compact"/>
      </w:pPr>
      <w:hyperlink r:id="rId56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20"/>
        </w:numPr>
        <w:pStyle w:val="Compact"/>
      </w:pPr>
      <w:hyperlink r:id="rId56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20"/>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0"/>
        </w:numPr>
        <w:pStyle w:val="Compact"/>
      </w:pPr>
      <w:hyperlink r:id="rId56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66"/>
    <w:bookmarkStart w:id="567" w:name="online-visualization-tools"/>
    <w:p>
      <w:pPr>
        <w:pStyle w:val="Heading2"/>
      </w:pPr>
      <w:r>
        <w:rPr>
          <w:rStyle w:val="SectionNumber"/>
        </w:rPr>
        <w:t xml:space="preserve">16.10</w:t>
      </w:r>
      <w:r>
        <w:tab/>
      </w:r>
      <w:r>
        <w:t xml:space="preserve">Online Visualization tools</w:t>
      </w:r>
    </w:p>
    <w:p>
      <w:pPr>
        <w:numPr>
          <w:ilvl w:val="0"/>
          <w:numId w:val="1121"/>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2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67"/>
    <w:bookmarkStart w:id="575" w:name="more-resources-about-atac-seq-data"/>
    <w:p>
      <w:pPr>
        <w:pStyle w:val="Heading2"/>
      </w:pPr>
      <w:r>
        <w:rPr>
          <w:rStyle w:val="SectionNumber"/>
        </w:rPr>
        <w:t xml:space="preserve">16.11</w:t>
      </w:r>
      <w:r>
        <w:tab/>
      </w:r>
      <w:r>
        <w:t xml:space="preserve">More resources about ATAC-seq data</w:t>
      </w:r>
    </w:p>
    <w:p>
      <w:pPr>
        <w:numPr>
          <w:ilvl w:val="0"/>
          <w:numId w:val="1122"/>
        </w:numPr>
        <w:pStyle w:val="Compact"/>
      </w:pPr>
      <w:hyperlink r:id="rId568">
        <w:r>
          <w:rPr>
            <w:rStyle w:val="Hyperlink"/>
          </w:rPr>
          <w:t xml:space="preserve">ATAC-seq overview from Galaxy</w:t>
        </w:r>
      </w:hyperlink>
      <w:r>
        <w:t xml:space="preserve"> </w:t>
      </w:r>
      <w:r>
        <w:t xml:space="preserve">- these slides explain the overarching concepts of ATAC-seq.</w:t>
      </w:r>
    </w:p>
    <w:p>
      <w:pPr>
        <w:numPr>
          <w:ilvl w:val="0"/>
          <w:numId w:val="1122"/>
        </w:numPr>
        <w:pStyle w:val="Compact"/>
      </w:pPr>
      <w:hyperlink r:id="rId56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22"/>
        </w:numPr>
        <w:pStyle w:val="Compact"/>
      </w:pPr>
      <w:hyperlink r:id="rId57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22"/>
        </w:numPr>
        <w:pStyle w:val="Compact"/>
      </w:pPr>
      <w:hyperlink r:id="rId571">
        <w:r>
          <w:rPr>
            <w:rStyle w:val="Hyperlink"/>
          </w:rPr>
          <w:t xml:space="preserve">Identifying and mitigating bias in chromatin</w:t>
        </w:r>
      </w:hyperlink>
    </w:p>
    <w:p>
      <w:pPr>
        <w:numPr>
          <w:ilvl w:val="0"/>
          <w:numId w:val="1122"/>
        </w:numPr>
        <w:pStyle w:val="Compact"/>
      </w:pPr>
      <w:hyperlink r:id="rId572">
        <w:r>
          <w:rPr>
            <w:rStyle w:val="Hyperlink"/>
          </w:rPr>
          <w:t xml:space="preserve">CHIP Snakemake pipeline for analyzing ChIP-seq and chromatin accessibility data</w:t>
        </w:r>
      </w:hyperlink>
    </w:p>
    <w:p>
      <w:pPr>
        <w:numPr>
          <w:ilvl w:val="0"/>
          <w:numId w:val="1122"/>
        </w:numPr>
        <w:pStyle w:val="Compact"/>
      </w:pPr>
      <w:hyperlink r:id="rId573">
        <w:r>
          <w:rPr>
            <w:rStyle w:val="Hyperlink"/>
          </w:rPr>
          <w:t xml:space="preserve">Paper on bias in DNase-seq footprinting analysis and fragment size effects, similar comments apply to ATAC-seq</w:t>
        </w:r>
      </w:hyperlink>
    </w:p>
    <w:p>
      <w:pPr>
        <w:numPr>
          <w:ilvl w:val="0"/>
          <w:numId w:val="1122"/>
        </w:numPr>
        <w:pStyle w:val="Compact"/>
      </w:pPr>
      <w:hyperlink r:id="rId574">
        <w:r>
          <w:rPr>
            <w:rStyle w:val="Hyperlink"/>
          </w:rPr>
          <w:t xml:space="preserve">SELMA Method for evaluating footprint bias in ATAC-seq</w:t>
        </w:r>
      </w:hyperlink>
    </w:p>
    <w:bookmarkEnd w:id="575"/>
    <w:bookmarkEnd w:id="576"/>
    <w:bookmarkStart w:id="6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7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77"/>
    <w:bookmarkStart w:id="5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78"/>
    <w:bookmarkStart w:id="5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79"/>
    <w:bookmarkStart w:id="5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80"/>
    <w:bookmarkStart w:id="5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81"/>
    <w:bookmarkStart w:id="5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82"/>
    <w:bookmarkStart w:id="5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83"/>
    <w:bookmarkStart w:id="5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23"/>
        </w:numPr>
        <w:pStyle w:val="Compact"/>
      </w:pPr>
      <w:hyperlink r:id="rId5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23"/>
        </w:numPr>
        <w:pStyle w:val="Compact"/>
      </w:pPr>
      <w:hyperlink r:id="rId58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23"/>
        </w:numPr>
        <w:pStyle w:val="Compact"/>
      </w:pPr>
      <w:hyperlink r:id="rId5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23"/>
        </w:numPr>
        <w:pStyle w:val="Compact"/>
      </w:pPr>
      <w:hyperlink r:id="rId5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88"/>
    <w:bookmarkStart w:id="5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2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2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24"/>
        </w:numPr>
        <w:pStyle w:val="Compact"/>
      </w:pPr>
      <w:r>
        <w:t xml:space="preserve">scATAC-seq is also a relatively high throughput technique, particularly with droplet based techniques. A single dataset can cover thousands of cells.</w:t>
      </w:r>
    </w:p>
    <w:bookmarkEnd w:id="589"/>
    <w:bookmarkStart w:id="5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2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2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2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2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90"/>
    <w:bookmarkStart w:id="5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92"/>
    <w:bookmarkStart w:id="601" w:name="scatac-seq-analysis-tools"/>
    <w:p>
      <w:pPr>
        <w:pStyle w:val="Heading2"/>
      </w:pPr>
      <w:r>
        <w:rPr>
          <w:rStyle w:val="SectionNumber"/>
        </w:rPr>
        <w:t xml:space="preserve">17.12</w:t>
      </w:r>
      <w:r>
        <w:tab/>
      </w:r>
      <w:r>
        <w:t xml:space="preserve">scATAC-seq analysis tools</w:t>
      </w:r>
    </w:p>
    <w:p>
      <w:pPr>
        <w:numPr>
          <w:ilvl w:val="0"/>
          <w:numId w:val="1126"/>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26"/>
        </w:numPr>
        <w:pStyle w:val="Compact"/>
      </w:pPr>
      <w:hyperlink r:id="rId59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26"/>
        </w:numPr>
        <w:pStyle w:val="Compact"/>
      </w:pPr>
      <w:hyperlink r:id="rId5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26"/>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26"/>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26"/>
        </w:numPr>
        <w:pStyle w:val="Compact"/>
      </w:pPr>
      <w:hyperlink r:id="rId5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97" w:name="doublet-detection"/>
    <w:p>
      <w:pPr>
        <w:pStyle w:val="Heading4"/>
      </w:pPr>
      <w:r>
        <w:rPr>
          <w:rStyle w:val="SectionNumber"/>
        </w:rPr>
        <w:t xml:space="preserve">17.12.0.1</w:t>
      </w:r>
      <w:r>
        <w:tab/>
      </w:r>
      <w:r>
        <w:t xml:space="preserve">Doublet detection</w:t>
      </w:r>
    </w:p>
    <w:p>
      <w:pPr>
        <w:pStyle w:val="FirstParagraph"/>
      </w:pPr>
      <w:hyperlink r:id="rId5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97"/>
    <w:bookmarkStart w:id="60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98">
        <w:r>
          <w:rPr>
            <w:rStyle w:val="Hyperlink"/>
          </w:rPr>
          <w:t xml:space="preserve">matplotlib</w:t>
        </w:r>
      </w:hyperlink>
      <w:r>
        <w:t xml:space="preserve"> </w:t>
      </w:r>
      <w:r>
        <w:t xml:space="preserve">or</w:t>
      </w:r>
      <w:r>
        <w:t xml:space="preserve"> </w:t>
      </w:r>
      <w:hyperlink r:id="rId5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00"/>
    <w:bookmarkEnd w:id="601"/>
    <w:bookmarkStart w:id="6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03"/>
    <w:bookmarkStart w:id="605" w:name="motif-detection-ex.-chromvar"/>
    <w:p>
      <w:pPr>
        <w:pStyle w:val="Heading2"/>
      </w:pPr>
      <w:r>
        <w:rPr>
          <w:rStyle w:val="SectionNumber"/>
        </w:rPr>
        <w:t xml:space="preserve">17.14</w:t>
      </w:r>
      <w:r>
        <w:tab/>
      </w:r>
      <w:r>
        <w:t xml:space="preserve">Motif detection (ex. ChromVar)</w:t>
      </w:r>
    </w:p>
    <w:p>
      <w:pPr>
        <w:pStyle w:val="FirstParagraph"/>
      </w:pPr>
      <w:hyperlink r:id="rId6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05"/>
    <w:bookmarkStart w:id="607" w:name="regulatory-network-detection"/>
    <w:p>
      <w:pPr>
        <w:pStyle w:val="Heading2"/>
      </w:pPr>
      <w:r>
        <w:rPr>
          <w:rStyle w:val="SectionNumber"/>
        </w:rPr>
        <w:t xml:space="preserve">17.15</w:t>
      </w:r>
      <w:r>
        <w:tab/>
      </w:r>
      <w:r>
        <w:t xml:space="preserve">Regulatory network detection</w:t>
      </w:r>
    </w:p>
    <w:p>
      <w:pPr>
        <w:pStyle w:val="FirstParagraph"/>
      </w:pPr>
      <w:hyperlink r:id="rId6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07"/>
    <w:bookmarkStart w:id="6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27"/>
        </w:numPr>
        <w:pStyle w:val="Compact"/>
      </w:pPr>
      <w:hyperlink r:id="rId608">
        <w:r>
          <w:rPr>
            <w:rStyle w:val="Hyperlink"/>
          </w:rPr>
          <w:t xml:space="preserve">SingleCellExperiment</w:t>
        </w:r>
      </w:hyperlink>
    </w:p>
    <w:p>
      <w:pPr>
        <w:numPr>
          <w:ilvl w:val="0"/>
          <w:numId w:val="1127"/>
        </w:numPr>
        <w:pStyle w:val="Compact"/>
      </w:pPr>
      <w:hyperlink r:id="rId609">
        <w:r>
          <w:rPr>
            <w:rStyle w:val="Hyperlink"/>
          </w:rPr>
          <w:t xml:space="preserve">Seurat/h5Seurat</w:t>
        </w:r>
      </w:hyperlink>
    </w:p>
    <w:p>
      <w:pPr>
        <w:numPr>
          <w:ilvl w:val="0"/>
          <w:numId w:val="1127"/>
        </w:numPr>
        <w:pStyle w:val="Compact"/>
      </w:pPr>
      <w:hyperlink r:id="rId610">
        <w:r>
          <w:rPr>
            <w:rStyle w:val="Hyperlink"/>
          </w:rPr>
          <w:t xml:space="preserve">annData objects</w:t>
        </w:r>
      </w:hyperlink>
    </w:p>
    <w:p>
      <w:pPr>
        <w:pStyle w:val="FirstParagraph"/>
      </w:pPr>
      <w:r>
        <w:t xml:space="preserve">H5seurat objects can be</w:t>
      </w:r>
      <w:r>
        <w:t xml:space="preserve"> </w:t>
      </w:r>
      <w:hyperlink r:id="rId611">
        <w:r>
          <w:rPr>
            <w:rStyle w:val="Hyperlink"/>
          </w:rPr>
          <w:t xml:space="preserve">converted to annData objects using SeuratDisk</w:t>
        </w:r>
      </w:hyperlink>
      <w:r>
        <w:t xml:space="preserve">.</w:t>
      </w:r>
    </w:p>
    <w:bookmarkEnd w:id="612"/>
    <w:bookmarkStart w:id="6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28"/>
        </w:numPr>
        <w:pStyle w:val="Compact"/>
      </w:pPr>
      <w:hyperlink r:id="rId613">
        <w:r>
          <w:rPr>
            <w:rStyle w:val="Hyperlink"/>
          </w:rPr>
          <w:t xml:space="preserve">Galaxy tutorial for sc-ATAC-seq analysis</w:t>
        </w:r>
      </w:hyperlink>
    </w:p>
    <w:p>
      <w:pPr>
        <w:numPr>
          <w:ilvl w:val="0"/>
          <w:numId w:val="1128"/>
        </w:numPr>
        <w:pStyle w:val="Compact"/>
      </w:pPr>
      <w:hyperlink r:id="rId614">
        <w:r>
          <w:rPr>
            <w:rStyle w:val="Hyperlink"/>
          </w:rPr>
          <w:t xml:space="preserve">Signac scATAC-seq tutorial with pbmcs</w:t>
        </w:r>
      </w:hyperlink>
    </w:p>
    <w:p>
      <w:pPr>
        <w:numPr>
          <w:ilvl w:val="0"/>
          <w:numId w:val="1128"/>
        </w:numPr>
        <w:pStyle w:val="Compact"/>
      </w:pPr>
      <w:hyperlink r:id="rId615">
        <w:r>
          <w:rPr>
            <w:rStyle w:val="Hyperlink"/>
          </w:rPr>
          <w:t xml:space="preserve">sc ATAC-seq chapter - Intro to Bioinformatics and Comp Bio</w:t>
        </w:r>
      </w:hyperlink>
    </w:p>
    <w:p>
      <w:pPr>
        <w:numPr>
          <w:ilvl w:val="0"/>
          <w:numId w:val="1128"/>
        </w:numPr>
        <w:pStyle w:val="Compact"/>
      </w:pPr>
      <w:hyperlink r:id="rId616">
        <w:r>
          <w:rPr>
            <w:rStyle w:val="Hyperlink"/>
          </w:rPr>
          <w:t xml:space="preserve">Single Cell ATAC-seq youtube video</w:t>
        </w:r>
      </w:hyperlink>
    </w:p>
    <w:p>
      <w:pPr>
        <w:numPr>
          <w:ilvl w:val="0"/>
          <w:numId w:val="1128"/>
        </w:numPr>
        <w:pStyle w:val="Compact"/>
      </w:pPr>
      <w:hyperlink r:id="rId617">
        <w:r>
          <w:rPr>
            <w:rStyle w:val="Hyperlink"/>
          </w:rPr>
          <w:t xml:space="preserve">Comprehensive analysis of single cell ATAC-seq data with SnapATAC</w:t>
        </w:r>
      </w:hyperlink>
    </w:p>
    <w:bookmarkEnd w:id="618"/>
    <w:bookmarkEnd w:id="619"/>
    <w:bookmarkStart w:id="66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2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1"/>
    <w:bookmarkStart w:id="623"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2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2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2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2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2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23"/>
    <w:bookmarkStart w:id="624"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3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3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3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3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3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3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24"/>
    <w:bookmarkStart w:id="626"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3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3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3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25">
        <w:r>
          <w:rPr>
            <w:rStyle w:val="Hyperlink"/>
          </w:rPr>
          <w:t xml:space="preserve">Hocomoco</w:t>
        </w:r>
      </w:hyperlink>
      <w:r>
        <w:t xml:space="preserve">.</w:t>
      </w:r>
    </w:p>
    <w:p>
      <w:pPr>
        <w:numPr>
          <w:ilvl w:val="0"/>
          <w:numId w:val="113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26"/>
    <w:bookmarkStart w:id="627"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3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3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3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3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3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27"/>
    <w:bookmarkStart w:id="628"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28"/>
    <w:bookmarkStart w:id="660" w:name="chip-seq-analysis-tools"/>
    <w:p>
      <w:pPr>
        <w:pStyle w:val="Heading2"/>
      </w:pPr>
      <w:r>
        <w:rPr>
          <w:rStyle w:val="SectionNumber"/>
        </w:rPr>
        <w:t xml:space="preserve">18.7</w:t>
      </w:r>
      <w:r>
        <w:tab/>
      </w:r>
      <w:r>
        <w:t xml:space="preserve">ChiP-seq analysis tools</w:t>
      </w:r>
    </w:p>
    <w:bookmarkStart w:id="631" w:name="tools-for-quality-checks"/>
    <w:p>
      <w:pPr>
        <w:pStyle w:val="Heading3"/>
      </w:pPr>
      <w:r>
        <w:rPr>
          <w:rStyle w:val="SectionNumber"/>
        </w:rPr>
        <w:t xml:space="preserve">18.7.1</w:t>
      </w:r>
      <w:r>
        <w:tab/>
      </w:r>
      <w:r>
        <w:t xml:space="preserve">Tools for quality checks</w:t>
      </w:r>
    </w:p>
    <w:p>
      <w:pPr>
        <w:numPr>
          <w:ilvl w:val="0"/>
          <w:numId w:val="113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3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33"/>
        </w:numPr>
        <w:pStyle w:val="Compact"/>
      </w:pPr>
      <w:hyperlink r:id="rId629">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33"/>
        </w:numPr>
        <w:pStyle w:val="Compact"/>
      </w:pPr>
      <w:hyperlink r:id="rId630">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31"/>
    <w:bookmarkStart w:id="635" w:name="tools-for-peak-calling"/>
    <w:p>
      <w:pPr>
        <w:pStyle w:val="Heading3"/>
      </w:pPr>
      <w:r>
        <w:rPr>
          <w:rStyle w:val="SectionNumber"/>
        </w:rPr>
        <w:t xml:space="preserve">18.7.2</w:t>
      </w:r>
      <w:r>
        <w:tab/>
      </w:r>
      <w:r>
        <w:t xml:space="preserve">Tools for Peak calling:</w:t>
      </w:r>
    </w:p>
    <w:p>
      <w:pPr>
        <w:numPr>
          <w:ilvl w:val="0"/>
          <w:numId w:val="1134"/>
        </w:numPr>
        <w:pStyle w:val="Compact"/>
      </w:pPr>
      <w:hyperlink r:id="rId629">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34"/>
        </w:numPr>
        <w:pStyle w:val="Compact"/>
      </w:pPr>
      <w:hyperlink r:id="rId632">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34"/>
        </w:numPr>
        <w:pStyle w:val="Compact"/>
      </w:pPr>
      <w:hyperlink r:id="rId633">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34"/>
        </w:numPr>
        <w:pStyle w:val="Compact"/>
      </w:pPr>
      <w:hyperlink r:id="rId634">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35"/>
    <w:bookmarkStart w:id="644" w:name="tools-for-differential-analysis"/>
    <w:p>
      <w:pPr>
        <w:pStyle w:val="Heading3"/>
      </w:pPr>
      <w:r>
        <w:rPr>
          <w:rStyle w:val="SectionNumber"/>
        </w:rPr>
        <w:t xml:space="preserve">18.7.3</w:t>
      </w:r>
      <w:r>
        <w:tab/>
      </w:r>
      <w:r>
        <w:t xml:space="preserve">Tools for Differential Analysis</w:t>
      </w:r>
    </w:p>
    <w:p>
      <w:pPr>
        <w:numPr>
          <w:ilvl w:val="0"/>
          <w:numId w:val="1135"/>
        </w:numPr>
        <w:pStyle w:val="Compact"/>
      </w:pPr>
      <w:hyperlink r:id="rId636">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35"/>
        </w:numPr>
        <w:pStyle w:val="Compact"/>
      </w:pPr>
      <w:hyperlink r:id="rId637">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35"/>
        </w:numPr>
        <w:pStyle w:val="Compact"/>
      </w:pPr>
      <w:hyperlink r:id="rId638">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35"/>
        </w:numPr>
        <w:pStyle w:val="Compact"/>
      </w:pPr>
      <w:hyperlink r:id="rId633">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35"/>
        </w:numPr>
        <w:pStyle w:val="Compact"/>
      </w:pPr>
      <w:hyperlink r:id="rId639">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35"/>
        </w:numPr>
        <w:pStyle w:val="Compact"/>
      </w:pPr>
      <w:hyperlink r:id="rId640">
        <w:r>
          <w:rPr>
            <w:rStyle w:val="Hyperlink"/>
          </w:rPr>
          <w:t xml:space="preserve">Cistrome-GO</w:t>
        </w:r>
      </w:hyperlink>
      <w:r>
        <w:t xml:space="preserve">: A web-based tool for determining the gene ontologies of genes likely to be regulated by regions discovered through TF ChIP-seq.</w:t>
      </w:r>
    </w:p>
    <w:p>
      <w:pPr>
        <w:numPr>
          <w:ilvl w:val="0"/>
          <w:numId w:val="1135"/>
        </w:numPr>
        <w:pStyle w:val="Compact"/>
      </w:pPr>
      <w:hyperlink r:id="rId641">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35"/>
        </w:numPr>
        <w:pStyle w:val="Compact"/>
      </w:pPr>
      <w:hyperlink r:id="rId642">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35"/>
        </w:numPr>
        <w:pStyle w:val="Compact"/>
      </w:pPr>
      <w:hyperlink r:id="rId643">
        <w:r>
          <w:rPr>
            <w:rStyle w:val="Hyperlink"/>
          </w:rPr>
          <w:t xml:space="preserve">Cistrome DB</w:t>
        </w:r>
      </w:hyperlink>
      <w:r>
        <w:t xml:space="preserve">: The website allows users to upload their enriched regions, returning TF ChIP-seq, DNase-seq or ATAC-seq samples with similar profiles.</w:t>
      </w:r>
    </w:p>
    <w:bookmarkEnd w:id="644"/>
    <w:bookmarkStart w:id="647" w:name="motif-analysis-1"/>
    <w:p>
      <w:pPr>
        <w:pStyle w:val="Heading3"/>
      </w:pPr>
      <w:r>
        <w:rPr>
          <w:rStyle w:val="SectionNumber"/>
        </w:rPr>
        <w:t xml:space="preserve">18.7.4</w:t>
      </w:r>
      <w:r>
        <w:tab/>
      </w:r>
      <w:r>
        <w:t xml:space="preserve">Motif Analysis</w:t>
      </w:r>
    </w:p>
    <w:p>
      <w:pPr>
        <w:numPr>
          <w:ilvl w:val="0"/>
          <w:numId w:val="1136"/>
        </w:numPr>
        <w:pStyle w:val="Compact"/>
      </w:pPr>
      <w:hyperlink r:id="rId54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36"/>
        </w:numPr>
        <w:pStyle w:val="Compact"/>
      </w:pPr>
      <w:hyperlink r:id="rId633">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36"/>
        </w:numPr>
        <w:pStyle w:val="Compact"/>
      </w:pPr>
      <w:hyperlink r:id="rId645">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36"/>
        </w:numPr>
        <w:pStyle w:val="Compact"/>
      </w:pPr>
      <w:hyperlink r:id="rId646">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47"/>
    <w:bookmarkStart w:id="649" w:name="tools-for-preprocessing"/>
    <w:p>
      <w:pPr>
        <w:pStyle w:val="Heading3"/>
      </w:pPr>
      <w:r>
        <w:rPr>
          <w:rStyle w:val="SectionNumber"/>
        </w:rPr>
        <w:t xml:space="preserve">18.7.5</w:t>
      </w:r>
      <w:r>
        <w:tab/>
      </w:r>
      <w:r>
        <w:t xml:space="preserve">Tools for preprocessing</w:t>
      </w:r>
    </w:p>
    <w:p>
      <w:pPr>
        <w:numPr>
          <w:ilvl w:val="0"/>
          <w:numId w:val="1137"/>
        </w:numPr>
        <w:pStyle w:val="Compact"/>
      </w:pPr>
      <w:hyperlink r:id="rId59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37"/>
        </w:numPr>
        <w:pStyle w:val="Compact"/>
      </w:pPr>
      <w:hyperlink r:id="rId64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37"/>
        </w:numPr>
        <w:pStyle w:val="Compact"/>
      </w:pPr>
      <w:hyperlink r:id="rId5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3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3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49"/>
    <w:bookmarkStart w:id="653" w:name="tools-for-making-visualizations"/>
    <w:p>
      <w:pPr>
        <w:pStyle w:val="Heading3"/>
      </w:pPr>
      <w:r>
        <w:rPr>
          <w:rStyle w:val="SectionNumber"/>
        </w:rPr>
        <w:t xml:space="preserve">18.7.6</w:t>
      </w:r>
      <w:r>
        <w:tab/>
      </w:r>
      <w:r>
        <w:t xml:space="preserve">Tools for making visualizations</w:t>
      </w:r>
    </w:p>
    <w:p>
      <w:pPr>
        <w:numPr>
          <w:ilvl w:val="0"/>
          <w:numId w:val="113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38"/>
        </w:numPr>
        <w:pStyle w:val="Compact"/>
      </w:pPr>
      <w:r>
        <w:t xml:space="preserve">The</w:t>
      </w:r>
      <w:r>
        <w:t xml:space="preserve"> </w:t>
      </w:r>
      <w:hyperlink r:id="rId65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38"/>
        </w:numPr>
        <w:pStyle w:val="Compact"/>
      </w:pPr>
      <w:hyperlink r:id="rId65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3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38"/>
        </w:numPr>
        <w:pStyle w:val="Compact"/>
      </w:pPr>
      <w:hyperlink r:id="rId65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53"/>
    <w:bookmarkStart w:id="659" w:name="tools-for-making-heatmaps"/>
    <w:p>
      <w:pPr>
        <w:pStyle w:val="Heading3"/>
      </w:pPr>
      <w:r>
        <w:rPr>
          <w:rStyle w:val="SectionNumber"/>
        </w:rPr>
        <w:t xml:space="preserve">18.7.7</w:t>
      </w:r>
      <w:r>
        <w:tab/>
      </w:r>
      <w:r>
        <w:t xml:space="preserve">Tools for making heatmaps</w:t>
      </w:r>
    </w:p>
    <w:p>
      <w:pPr>
        <w:numPr>
          <w:ilvl w:val="0"/>
          <w:numId w:val="1139"/>
        </w:numPr>
        <w:pStyle w:val="Compact"/>
      </w:pPr>
      <w:hyperlink r:id="rId65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3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39"/>
        </w:numPr>
        <w:pStyle w:val="Compact"/>
      </w:pPr>
      <w:hyperlink r:id="rId655">
        <w:r>
          <w:rPr>
            <w:rStyle w:val="Hyperlink"/>
          </w:rPr>
          <w:t xml:space="preserve">EnrichedHeatmap</w:t>
        </w:r>
      </w:hyperlink>
      <w:r>
        <w:t xml:space="preserve">is an R package for making heatmaps that visualize the enrichment of genomic signals on specific target regions.</w:t>
      </w:r>
    </w:p>
    <w:p>
      <w:pPr>
        <w:numPr>
          <w:ilvl w:val="0"/>
          <w:numId w:val="1139"/>
        </w:numPr>
        <w:pStyle w:val="Compact"/>
      </w:pPr>
      <w:hyperlink r:id="rId65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39"/>
        </w:numPr>
        <w:pStyle w:val="Compact"/>
      </w:pPr>
      <w:hyperlink r:id="rId65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39"/>
        </w:numPr>
        <w:pStyle w:val="Compact"/>
      </w:pPr>
      <w:hyperlink r:id="rId65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59"/>
    <w:bookmarkEnd w:id="660"/>
    <w:bookmarkStart w:id="668"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40"/>
        </w:numPr>
        <w:pStyle w:val="Compact"/>
      </w:pPr>
      <w:hyperlink r:id="rId661">
        <w:r>
          <w:rPr>
            <w:rStyle w:val="Hyperlink"/>
          </w:rPr>
          <w:t xml:space="preserve">Shirley Liu’s Computational biology course</w:t>
        </w:r>
      </w:hyperlink>
    </w:p>
    <w:p>
      <w:pPr>
        <w:numPr>
          <w:ilvl w:val="0"/>
          <w:numId w:val="1140"/>
        </w:numPr>
        <w:pStyle w:val="Compact"/>
      </w:pPr>
      <w:hyperlink r:id="rId662">
        <w:r>
          <w:rPr>
            <w:rStyle w:val="Hyperlink"/>
          </w:rPr>
          <w:t xml:space="preserve">Galaxy ChIP-seq tutorial</w:t>
        </w:r>
      </w:hyperlink>
    </w:p>
    <w:p>
      <w:pPr>
        <w:numPr>
          <w:ilvl w:val="0"/>
          <w:numId w:val="1140"/>
        </w:numPr>
        <w:pStyle w:val="Compact"/>
      </w:pPr>
      <w:hyperlink r:id="rId663">
        <w:r>
          <w:rPr>
            <w:rStyle w:val="Hyperlink"/>
          </w:rPr>
          <w:t xml:space="preserve">ENCODE ChiP-seq tutorial</w:t>
        </w:r>
      </w:hyperlink>
    </w:p>
    <w:p>
      <w:pPr>
        <w:numPr>
          <w:ilvl w:val="0"/>
          <w:numId w:val="1140"/>
        </w:numPr>
        <w:pStyle w:val="Compact"/>
      </w:pPr>
      <w:hyperlink r:id="rId664">
        <w:r>
          <w:rPr>
            <w:rStyle w:val="Hyperlink"/>
          </w:rPr>
          <w:t xml:space="preserve">Crazyhottommy’s ChIp-seq tutorial</w:t>
        </w:r>
      </w:hyperlink>
    </w:p>
    <w:p>
      <w:pPr>
        <w:numPr>
          <w:ilvl w:val="0"/>
          <w:numId w:val="1140"/>
        </w:numPr>
        <w:pStyle w:val="Compact"/>
      </w:pPr>
      <w:hyperlink r:id="rId665">
        <w:r>
          <w:rPr>
            <w:rStyle w:val="Hyperlink"/>
          </w:rPr>
          <w:t xml:space="preserve">Harvard CUT&amp;RUN tutorial</w:t>
        </w:r>
      </w:hyperlink>
    </w:p>
    <w:p>
      <w:pPr>
        <w:numPr>
          <w:ilvl w:val="0"/>
          <w:numId w:val="1140"/>
        </w:numPr>
        <w:pStyle w:val="Compact"/>
      </w:pPr>
      <w:hyperlink r:id="rId666">
        <w:r>
          <w:rPr>
            <w:rStyle w:val="Hyperlink"/>
          </w:rPr>
          <w:t xml:space="preserve">4DN CUT&amp;RUN tutorial</w:t>
        </w:r>
      </w:hyperlink>
    </w:p>
    <w:p>
      <w:pPr>
        <w:numPr>
          <w:ilvl w:val="0"/>
          <w:numId w:val="1140"/>
        </w:numPr>
        <w:pStyle w:val="Compact"/>
      </w:pPr>
      <w:hyperlink r:id="rId667">
        <w:r>
          <w:rPr>
            <w:rStyle w:val="Hyperlink"/>
          </w:rPr>
          <w:t xml:space="preserve">Henikoff Lab CUT&amp;Tag tutorial</w:t>
        </w:r>
      </w:hyperlink>
    </w:p>
    <w:p>
      <w:pPr>
        <w:numPr>
          <w:ilvl w:val="0"/>
          <w:numId w:val="114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4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68"/>
    <w:bookmarkEnd w:id="669"/>
    <w:bookmarkStart w:id="699"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71"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1"/>
    <w:bookmarkStart w:id="674"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bookmarkEnd w:id="674"/>
    <w:bookmarkStart w:id="680" w:name="methylation-data-considerations"/>
    <w:p>
      <w:pPr>
        <w:pStyle w:val="Heading2"/>
      </w:pPr>
      <w:r>
        <w:rPr>
          <w:rStyle w:val="SectionNumber"/>
        </w:rPr>
        <w:t xml:space="preserve">19.3</w:t>
      </w:r>
      <w:r>
        <w:tab/>
      </w:r>
      <w:r>
        <w:t xml:space="preserve">Methylation data considerations</w:t>
      </w:r>
    </w:p>
    <w:bookmarkStart w:id="676"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76"/>
    <w:bookmarkStart w:id="679"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bookmarkEnd w:id="679"/>
    <w:bookmarkEnd w:id="680"/>
    <w:bookmarkStart w:id="682"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82"/>
    <w:bookmarkStart w:id="694"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84" w:name="quality-control"/>
    <w:p>
      <w:pPr>
        <w:pStyle w:val="Heading3"/>
      </w:pPr>
      <w:r>
        <w:rPr>
          <w:rStyle w:val="SectionNumber"/>
        </w:rPr>
        <w:t xml:space="preserve">19.5.1</w:t>
      </w:r>
      <w:r>
        <w:tab/>
      </w:r>
      <w:r>
        <w:t xml:space="preserve">Quality control:</w:t>
      </w:r>
    </w:p>
    <w:p>
      <w:pPr>
        <w:numPr>
          <w:ilvl w:val="0"/>
          <w:numId w:val="1141"/>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4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42"/>
        </w:numPr>
        <w:pStyle w:val="Compact"/>
      </w:pPr>
      <w:r>
        <w:rPr>
          <w:bCs/>
          <w:b/>
        </w:rPr>
        <w:t xml:space="preserve">Cons</w:t>
      </w:r>
      <w:r>
        <w:t xml:space="preserve">: Does not perform any trimming or filtering of low-quality reads Not specifically designed for bisulfite sequencing data</w:t>
      </w:r>
    </w:p>
    <w:p>
      <w:pPr>
        <w:numPr>
          <w:ilvl w:val="0"/>
          <w:numId w:val="1141"/>
        </w:numPr>
        <w:pStyle w:val="Compact"/>
      </w:pPr>
      <w:hyperlink r:id="rId68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4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43"/>
        </w:numPr>
        <w:pStyle w:val="Compact"/>
      </w:pPr>
      <w:r>
        <w:rPr>
          <w:bCs/>
          <w:b/>
        </w:rPr>
        <w:t xml:space="preserve">Cons</w:t>
      </w:r>
      <w:r>
        <w:t xml:space="preserve">: Limited flexibility in terms of the trimming and filtering options. Does not provide quality control metrics or plots</w:t>
      </w:r>
    </w:p>
    <w:bookmarkEnd w:id="684"/>
    <w:bookmarkStart w:id="687" w:name="analysis"/>
    <w:p>
      <w:pPr>
        <w:pStyle w:val="Heading3"/>
      </w:pPr>
      <w:r>
        <w:rPr>
          <w:rStyle w:val="SectionNumber"/>
        </w:rPr>
        <w:t xml:space="preserve">19.5.2</w:t>
      </w:r>
      <w:r>
        <w:tab/>
      </w:r>
      <w:r>
        <w:t xml:space="preserve">Analysis:</w:t>
      </w:r>
    </w:p>
    <w:p>
      <w:pPr>
        <w:numPr>
          <w:ilvl w:val="0"/>
          <w:numId w:val="1144"/>
        </w:numPr>
        <w:pStyle w:val="Compact"/>
      </w:pPr>
      <w:hyperlink r:id="rId68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45"/>
        </w:numPr>
        <w:pStyle w:val="Compact"/>
      </w:pPr>
      <w:r>
        <w:rPr>
          <w:bCs/>
          <w:b/>
        </w:rPr>
        <w:t xml:space="preserve">Cons</w:t>
      </w:r>
      <w:r>
        <w:t xml:space="preserve">:Can be computationally intensive for large datasets. Requires a pre-built bisulfite-converted reference genome</w:t>
      </w:r>
    </w:p>
    <w:p>
      <w:pPr>
        <w:numPr>
          <w:ilvl w:val="0"/>
          <w:numId w:val="1144"/>
        </w:numPr>
        <w:pStyle w:val="Compact"/>
      </w:pPr>
      <w:hyperlink r:id="rId68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4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46"/>
        </w:numPr>
        <w:pStyle w:val="Compact"/>
      </w:pPr>
      <w:r>
        <w:rPr>
          <w:bCs/>
          <w:b/>
        </w:rPr>
        <w:t xml:space="preserve">Cons</w:t>
      </w:r>
      <w:r>
        <w:t xml:space="preserve">: Does not perform methylation calling or quantification</w:t>
      </w:r>
    </w:p>
    <w:bookmarkEnd w:id="687"/>
    <w:bookmarkStart w:id="689" w:name="methylation-calling"/>
    <w:p>
      <w:pPr>
        <w:pStyle w:val="Heading3"/>
      </w:pPr>
      <w:r>
        <w:rPr>
          <w:rStyle w:val="SectionNumber"/>
        </w:rPr>
        <w:t xml:space="preserve">19.5.3</w:t>
      </w:r>
      <w:r>
        <w:tab/>
      </w:r>
      <w:r>
        <w:t xml:space="preserve">Methylation calling:</w:t>
      </w:r>
    </w:p>
    <w:p>
      <w:pPr>
        <w:numPr>
          <w:ilvl w:val="0"/>
          <w:numId w:val="1147"/>
        </w:numPr>
        <w:pStyle w:val="Compact"/>
      </w:pPr>
      <w:hyperlink r:id="rId68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48"/>
        </w:numPr>
        <w:pStyle w:val="Compact"/>
      </w:pPr>
      <w:r>
        <w:rPr>
          <w:bCs/>
          <w:b/>
        </w:rPr>
        <w:t xml:space="preserve">Cons</w:t>
      </w:r>
      <w:r>
        <w:t xml:space="preserve">:Can be computationally intensive for large datasets. Requires a pre-built bisulfite-converted reference genome</w:t>
      </w:r>
    </w:p>
    <w:p>
      <w:pPr>
        <w:numPr>
          <w:ilvl w:val="0"/>
          <w:numId w:val="1147"/>
        </w:numPr>
        <w:pStyle w:val="Compact"/>
      </w:pPr>
      <w:hyperlink r:id="rId68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4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49"/>
        </w:numPr>
        <w:pStyle w:val="Compact"/>
      </w:pPr>
      <w:r>
        <w:rPr>
          <w:bCs/>
          <w:b/>
        </w:rPr>
        <w:t xml:space="preserve">Cons</w:t>
      </w:r>
      <w:r>
        <w:t xml:space="preserve">:Does not perform alignment or methylation quantification</w:t>
      </w:r>
    </w:p>
    <w:bookmarkEnd w:id="689"/>
    <w:bookmarkStart w:id="691" w:name="methylation-quantification"/>
    <w:p>
      <w:pPr>
        <w:pStyle w:val="Heading3"/>
      </w:pPr>
      <w:r>
        <w:rPr>
          <w:rStyle w:val="SectionNumber"/>
        </w:rPr>
        <w:t xml:space="preserve">19.5.4</w:t>
      </w:r>
      <w:r>
        <w:tab/>
      </w:r>
      <w:r>
        <w:t xml:space="preserve">Methylation quantification:</w:t>
      </w:r>
    </w:p>
    <w:p>
      <w:pPr>
        <w:numPr>
          <w:ilvl w:val="0"/>
          <w:numId w:val="1150"/>
        </w:numPr>
        <w:pStyle w:val="Compact"/>
      </w:pPr>
      <w:hyperlink r:id="rId69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5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51"/>
        </w:numPr>
        <w:pStyle w:val="Compact"/>
      </w:pPr>
      <w:r>
        <w:rPr>
          <w:bCs/>
          <w:b/>
        </w:rPr>
        <w:t xml:space="preserve">Cons</w:t>
      </w:r>
      <w:r>
        <w:t xml:space="preserve">: Can be computationally intensive for large datasets. Requires some knowledge of R programming language to use effectively</w:t>
      </w:r>
    </w:p>
    <w:p>
      <w:pPr>
        <w:numPr>
          <w:ilvl w:val="0"/>
          <w:numId w:val="1150"/>
        </w:numPr>
        <w:pStyle w:val="Compact"/>
      </w:pPr>
      <w:hyperlink r:id="rId68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91"/>
    <w:bookmarkStart w:id="693" w:name="analysis-1"/>
    <w:p>
      <w:pPr>
        <w:pStyle w:val="Heading3"/>
      </w:pPr>
      <w:r>
        <w:rPr>
          <w:rStyle w:val="SectionNumber"/>
        </w:rPr>
        <w:t xml:space="preserve">19.5.5</w:t>
      </w:r>
      <w:r>
        <w:tab/>
      </w:r>
      <w:r>
        <w:t xml:space="preserve">Analysis:</w:t>
      </w:r>
    </w:p>
    <w:p>
      <w:pPr>
        <w:numPr>
          <w:ilvl w:val="0"/>
          <w:numId w:val="1152"/>
        </w:numPr>
        <w:pStyle w:val="Compact"/>
      </w:pPr>
      <w:hyperlink r:id="rId69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5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5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52"/>
        </w:numPr>
        <w:pStyle w:val="Compact"/>
      </w:pPr>
      <w:hyperlink r:id="rId69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93"/>
    <w:bookmarkEnd w:id="694"/>
    <w:bookmarkStart w:id="698" w:name="more-resources-2"/>
    <w:p>
      <w:pPr>
        <w:pStyle w:val="Heading2"/>
      </w:pPr>
      <w:r>
        <w:rPr>
          <w:rStyle w:val="SectionNumber"/>
        </w:rPr>
        <w:t xml:space="preserve">19.6</w:t>
      </w:r>
      <w:r>
        <w:tab/>
      </w:r>
      <w:r>
        <w:t xml:space="preserve">More resources</w:t>
      </w:r>
    </w:p>
    <w:p>
      <w:pPr>
        <w:numPr>
          <w:ilvl w:val="0"/>
          <w:numId w:val="1154"/>
        </w:numPr>
        <w:pStyle w:val="Compact"/>
      </w:pPr>
      <w:hyperlink r:id="rId695">
        <w:r>
          <w:rPr>
            <w:rStyle w:val="Hyperlink"/>
          </w:rPr>
          <w:t xml:space="preserve">DNA methylation analysis with Galaxy tutorial</w:t>
        </w:r>
      </w:hyperlink>
    </w:p>
    <w:p>
      <w:pPr>
        <w:numPr>
          <w:ilvl w:val="0"/>
          <w:numId w:val="1154"/>
        </w:numPr>
        <w:pStyle w:val="Compact"/>
      </w:pPr>
      <w:hyperlink r:id="rId696">
        <w:r>
          <w:rPr>
            <w:rStyle w:val="Hyperlink"/>
          </w:rPr>
          <w:t xml:space="preserve">The mint pipeline</w:t>
        </w:r>
      </w:hyperlink>
      <w:r>
        <w:t xml:space="preserve"> </w:t>
      </w:r>
      <w:r>
        <w:t xml:space="preserve">for analyzing methylation and hydroxymethylation data.</w:t>
      </w:r>
    </w:p>
    <w:p>
      <w:pPr>
        <w:numPr>
          <w:ilvl w:val="0"/>
          <w:numId w:val="1154"/>
        </w:numPr>
        <w:pStyle w:val="Compact"/>
      </w:pPr>
      <w:hyperlink r:id="rId697">
        <w:r>
          <w:rPr>
            <w:rStyle w:val="Hyperlink"/>
          </w:rPr>
          <w:t xml:space="preserve">Book chapter about finding methylation regions of interest</w:t>
        </w:r>
      </w:hyperlink>
    </w:p>
    <w:bookmarkEnd w:id="698"/>
    <w:bookmarkEnd w:id="699"/>
    <w:bookmarkStart w:id="733"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55"/>
        </w:numPr>
        <w:pStyle w:val="Compact"/>
      </w:pPr>
      <w:hyperlink w:anchor="archs4">
        <w:r>
          <w:rPr>
            <w:rStyle w:val="Hyperlink"/>
          </w:rPr>
          <w:t xml:space="preserve">ARCHS4</w:t>
        </w:r>
      </w:hyperlink>
    </w:p>
    <w:p>
      <w:pPr>
        <w:numPr>
          <w:ilvl w:val="0"/>
          <w:numId w:val="1155"/>
        </w:numPr>
        <w:pStyle w:val="Compact"/>
      </w:pPr>
      <w:hyperlink w:anchor="bioconductor">
        <w:r>
          <w:rPr>
            <w:rStyle w:val="Hyperlink"/>
          </w:rPr>
          <w:t xml:space="preserve">Bioconductor</w:t>
        </w:r>
      </w:hyperlink>
    </w:p>
    <w:p>
      <w:pPr>
        <w:numPr>
          <w:ilvl w:val="1"/>
          <w:numId w:val="1156"/>
        </w:numPr>
        <w:pStyle w:val="Compact"/>
      </w:pPr>
      <w:hyperlink w:anchor="notable-bioconductor-genomics-tools-">
        <w:r>
          <w:rPr>
            <w:rStyle w:val="Hyperlink"/>
          </w:rPr>
          <w:t xml:space="preserve">Notable Bioconductor genomics tools:</w:t>
        </w:r>
      </w:hyperlink>
    </w:p>
    <w:p>
      <w:pPr>
        <w:numPr>
          <w:ilvl w:val="0"/>
          <w:numId w:val="1155"/>
        </w:numPr>
        <w:pStyle w:val="Compact"/>
      </w:pPr>
      <w:hyperlink w:anchor="cancer-models">
        <w:r>
          <w:rPr>
            <w:rStyle w:val="Hyperlink"/>
          </w:rPr>
          <w:t xml:space="preserve">Cancer Models</w:t>
        </w:r>
      </w:hyperlink>
    </w:p>
    <w:p>
      <w:pPr>
        <w:numPr>
          <w:ilvl w:val="0"/>
          <w:numId w:val="1155"/>
        </w:numPr>
        <w:pStyle w:val="Compact"/>
      </w:pPr>
      <w:hyperlink w:anchor="civic">
        <w:r>
          <w:rPr>
            <w:rStyle w:val="Hyperlink"/>
          </w:rPr>
          <w:t xml:space="preserve">CIViC</w:t>
        </w:r>
      </w:hyperlink>
    </w:p>
    <w:p>
      <w:pPr>
        <w:numPr>
          <w:ilvl w:val="0"/>
          <w:numId w:val="1155"/>
        </w:numPr>
        <w:pStyle w:val="Compact"/>
      </w:pPr>
      <w:hyperlink w:anchor="ctat">
        <w:r>
          <w:rPr>
            <w:rStyle w:val="Hyperlink"/>
          </w:rPr>
          <w:t xml:space="preserve">CTAT</w:t>
        </w:r>
      </w:hyperlink>
    </w:p>
    <w:p>
      <w:pPr>
        <w:numPr>
          <w:ilvl w:val="0"/>
          <w:numId w:val="1155"/>
        </w:numPr>
        <w:pStyle w:val="Compact"/>
      </w:pPr>
      <w:hyperlink w:anchor="deepphe">
        <w:r>
          <w:rPr>
            <w:rStyle w:val="Hyperlink"/>
          </w:rPr>
          <w:t xml:space="preserve">DeepPhe</w:t>
        </w:r>
      </w:hyperlink>
    </w:p>
    <w:p>
      <w:pPr>
        <w:numPr>
          <w:ilvl w:val="0"/>
          <w:numId w:val="1155"/>
        </w:numPr>
        <w:pStyle w:val="Compact"/>
      </w:pPr>
      <w:hyperlink w:anchor="genetic-cancer-risk-detector--garde-">
        <w:r>
          <w:rPr>
            <w:rStyle w:val="Hyperlink"/>
          </w:rPr>
          <w:t xml:space="preserve">Genetic Cancer Risk Detector (GARDE)</w:t>
        </w:r>
      </w:hyperlink>
    </w:p>
    <w:p>
      <w:pPr>
        <w:numPr>
          <w:ilvl w:val="0"/>
          <w:numId w:val="1155"/>
        </w:numPr>
        <w:pStyle w:val="Compact"/>
      </w:pPr>
      <w:hyperlink w:anchor="genepattern">
        <w:r>
          <w:rPr>
            <w:rStyle w:val="Hyperlink"/>
          </w:rPr>
          <w:t xml:space="preserve">GenePattern</w:t>
        </w:r>
      </w:hyperlink>
    </w:p>
    <w:p>
      <w:pPr>
        <w:numPr>
          <w:ilvl w:val="0"/>
          <w:numId w:val="1155"/>
        </w:numPr>
        <w:pStyle w:val="Compact"/>
      </w:pPr>
      <w:hyperlink w:anchor="gene-set-enrichment-analysis--gsea-">
        <w:r>
          <w:rPr>
            <w:rStyle w:val="Hyperlink"/>
          </w:rPr>
          <w:t xml:space="preserve">Gene Set Enrichment Analysis (GSEA)</w:t>
        </w:r>
      </w:hyperlink>
    </w:p>
    <w:p>
      <w:pPr>
        <w:numPr>
          <w:ilvl w:val="0"/>
          <w:numId w:val="1155"/>
        </w:numPr>
        <w:pStyle w:val="Compact"/>
      </w:pPr>
      <w:hyperlink w:anchor="integrative-genomics-viewer--igv-">
        <w:r>
          <w:rPr>
            <w:rStyle w:val="Hyperlink"/>
          </w:rPr>
          <w:t xml:space="preserve">Integrative Genomics Viewer (IGV)</w:t>
        </w:r>
      </w:hyperlink>
    </w:p>
    <w:p>
      <w:pPr>
        <w:numPr>
          <w:ilvl w:val="0"/>
          <w:numId w:val="1155"/>
        </w:numPr>
        <w:pStyle w:val="Compact"/>
      </w:pPr>
      <w:hyperlink w:anchor="ndex">
        <w:r>
          <w:rPr>
            <w:rStyle w:val="Hyperlink"/>
          </w:rPr>
          <w:t xml:space="preserve">NDEx</w:t>
        </w:r>
      </w:hyperlink>
    </w:p>
    <w:p>
      <w:pPr>
        <w:numPr>
          <w:ilvl w:val="0"/>
          <w:numId w:val="1155"/>
        </w:numPr>
        <w:pStyle w:val="Compact"/>
      </w:pPr>
      <w:hyperlink w:anchor="multiassayexperiment">
        <w:r>
          <w:rPr>
            <w:rStyle w:val="Hyperlink"/>
          </w:rPr>
          <w:t xml:space="preserve">MultiAssayExperiment</w:t>
        </w:r>
      </w:hyperlink>
    </w:p>
    <w:p>
      <w:pPr>
        <w:numPr>
          <w:ilvl w:val="0"/>
          <w:numId w:val="1155"/>
        </w:numPr>
        <w:pStyle w:val="Compact"/>
      </w:pPr>
      <w:hyperlink w:anchor="opencravat">
        <w:r>
          <w:rPr>
            <w:rStyle w:val="Hyperlink"/>
          </w:rPr>
          <w:t xml:space="preserve">OpenCRAVAT</w:t>
        </w:r>
      </w:hyperlink>
    </w:p>
    <w:p>
      <w:pPr>
        <w:numPr>
          <w:ilvl w:val="0"/>
          <w:numId w:val="1155"/>
        </w:numPr>
        <w:pStyle w:val="Compact"/>
      </w:pPr>
      <w:hyperlink w:anchor="pvactools">
        <w:r>
          <w:rPr>
            <w:rStyle w:val="Hyperlink"/>
          </w:rPr>
          <w:t xml:space="preserve">pVACtools</w:t>
        </w:r>
      </w:hyperlink>
    </w:p>
    <w:p>
      <w:pPr>
        <w:numPr>
          <w:ilvl w:val="0"/>
          <w:numId w:val="1155"/>
        </w:numPr>
        <w:pStyle w:val="Compact"/>
      </w:pPr>
      <w:hyperlink w:anchor="tumordecon">
        <w:r>
          <w:rPr>
            <w:rStyle w:val="Hyperlink"/>
          </w:rPr>
          <w:t xml:space="preserve">TumorDecon</w:t>
        </w:r>
      </w:hyperlink>
    </w:p>
    <w:p>
      <w:pPr>
        <w:numPr>
          <w:ilvl w:val="0"/>
          <w:numId w:val="1155"/>
        </w:numPr>
        <w:pStyle w:val="Compact"/>
      </w:pPr>
      <w:hyperlink w:anchor="webmev">
        <w:r>
          <w:rPr>
            <w:rStyle w:val="Hyperlink"/>
          </w:rPr>
          <w:t xml:space="preserve">WebMeV</w:t>
        </w:r>
      </w:hyperlink>
    </w:p>
    <w:p>
      <w:pPr>
        <w:numPr>
          <w:ilvl w:val="0"/>
          <w:numId w:val="1155"/>
        </w:numPr>
        <w:pStyle w:val="Compact"/>
      </w:pPr>
      <w:hyperlink w:anchor="xena">
        <w:r>
          <w:rPr>
            <w:rStyle w:val="Hyperlink"/>
          </w:rPr>
          <w:t xml:space="preserve">Xena</w:t>
        </w:r>
      </w:hyperlink>
    </w:p>
    <w:bookmarkStart w:id="700"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00"/>
    <w:bookmarkStart w:id="707"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06" w:name="notable-bioconductor-genomics-tools"/>
    <w:p>
      <w:pPr>
        <w:pStyle w:val="Heading3"/>
      </w:pPr>
      <w:r>
        <w:rPr>
          <w:rStyle w:val="SectionNumber"/>
        </w:rPr>
        <w:t xml:space="preserve">20.2.1</w:t>
      </w:r>
      <w:r>
        <w:tab/>
      </w:r>
      <w:r>
        <w:t xml:space="preserve">Notable Bioconductor genomics tools:</w:t>
      </w:r>
    </w:p>
    <w:p>
      <w:pPr>
        <w:numPr>
          <w:ilvl w:val="0"/>
          <w:numId w:val="1157"/>
        </w:numPr>
      </w:pPr>
      <w:hyperlink r:id="rId266">
        <w:r>
          <w:rPr>
            <w:rStyle w:val="Hyperlink"/>
          </w:rPr>
          <w:t xml:space="preserve">annotatr</w:t>
        </w:r>
      </w:hyperlink>
    </w:p>
    <w:p>
      <w:pPr>
        <w:numPr>
          <w:ilvl w:val="0"/>
          <w:numId w:val="1157"/>
        </w:numPr>
      </w:pPr>
      <w:hyperlink r:id="rId267">
        <w:r>
          <w:rPr>
            <w:rStyle w:val="Hyperlink"/>
          </w:rPr>
          <w:t xml:space="preserve">ensembldb</w:t>
        </w:r>
      </w:hyperlink>
    </w:p>
    <w:p>
      <w:pPr>
        <w:numPr>
          <w:ilvl w:val="0"/>
          <w:numId w:val="1157"/>
        </w:numPr>
      </w:pPr>
      <w:hyperlink r:id="rId268">
        <w:r>
          <w:rPr>
            <w:rStyle w:val="Hyperlink"/>
          </w:rPr>
          <w:t xml:space="preserve">GenomicRanges</w:t>
        </w:r>
      </w:hyperlink>
      <w:r>
        <w:t xml:space="preserve"> </w:t>
      </w:r>
      <w:r>
        <w:t xml:space="preserve">- useful for manipulating and identifying sequences.</w:t>
      </w:r>
    </w:p>
    <w:p>
      <w:pPr>
        <w:numPr>
          <w:ilvl w:val="0"/>
          <w:numId w:val="1157"/>
        </w:numPr>
      </w:pPr>
      <w:hyperlink r:id="rId269">
        <w:r>
          <w:rPr>
            <w:rStyle w:val="Hyperlink"/>
          </w:rPr>
          <w:t xml:space="preserve">GO.db</w:t>
        </w:r>
      </w:hyperlink>
      <w:r>
        <w:t xml:space="preserve"> </w:t>
      </w:r>
      <w:r>
        <w:t xml:space="preserve">- Gene ontology annotation</w:t>
      </w:r>
    </w:p>
    <w:p>
      <w:pPr>
        <w:numPr>
          <w:ilvl w:val="0"/>
          <w:numId w:val="1157"/>
        </w:numPr>
      </w:pPr>
      <w:hyperlink r:id="rId270">
        <w:r>
          <w:rPr>
            <w:rStyle w:val="Hyperlink"/>
          </w:rPr>
          <w:t xml:space="preserve">org.Hs.eg.db</w:t>
        </w:r>
      </w:hyperlink>
    </w:p>
    <w:p>
      <w:pPr>
        <w:numPr>
          <w:ilvl w:val="0"/>
          <w:numId w:val="1157"/>
        </w:numPr>
      </w:pPr>
      <w:hyperlink r:id="rId271">
        <w:r>
          <w:rPr>
            <w:rStyle w:val="Hyperlink"/>
          </w:rPr>
          <w:t xml:space="preserve">RSamtools</w:t>
        </w:r>
      </w:hyperlink>
    </w:p>
    <w:p>
      <w:pPr>
        <w:numPr>
          <w:ilvl w:val="0"/>
          <w:numId w:val="1157"/>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57"/>
        </w:numPr>
      </w:pPr>
      <w:hyperlink r:id="rId396">
        <w:r>
          <w:rPr>
            <w:rStyle w:val="Hyperlink"/>
          </w:rPr>
          <w:t xml:space="preserve">ComplexHeatmap</w:t>
        </w:r>
      </w:hyperlink>
    </w:p>
    <w:p>
      <w:pPr>
        <w:numPr>
          <w:ilvl w:val="0"/>
          <w:numId w:val="1157"/>
        </w:numPr>
      </w:pPr>
      <w:hyperlink r:id="rId701">
        <w:r>
          <w:rPr>
            <w:rStyle w:val="Hyperlink"/>
          </w:rPr>
          <w:t xml:space="preserve">MultiAssayExperiment</w:t>
        </w:r>
      </w:hyperlink>
    </w:p>
    <w:p>
      <w:pPr>
        <w:numPr>
          <w:ilvl w:val="0"/>
          <w:numId w:val="1157"/>
        </w:numPr>
      </w:pPr>
      <w:hyperlink r:id="rId702">
        <w:r>
          <w:rPr>
            <w:rStyle w:val="Hyperlink"/>
          </w:rPr>
          <w:t xml:space="preserve">limma</w:t>
        </w:r>
      </w:hyperlink>
    </w:p>
    <w:p>
      <w:pPr>
        <w:numPr>
          <w:ilvl w:val="0"/>
          <w:numId w:val="1157"/>
        </w:numPr>
      </w:pPr>
      <w:hyperlink r:id="rId397">
        <w:r>
          <w:rPr>
            <w:rStyle w:val="Hyperlink"/>
          </w:rPr>
          <w:t xml:space="preserve">DESEq2</w:t>
        </w:r>
      </w:hyperlink>
    </w:p>
    <w:p>
      <w:pPr>
        <w:numPr>
          <w:ilvl w:val="0"/>
          <w:numId w:val="1157"/>
        </w:numPr>
      </w:pPr>
      <w:hyperlink r:id="rId398">
        <w:r>
          <w:rPr>
            <w:rStyle w:val="Hyperlink"/>
          </w:rPr>
          <w:t xml:space="preserve">edgeR</w:t>
        </w:r>
      </w:hyperlink>
    </w:p>
    <w:p>
      <w:pPr>
        <w:numPr>
          <w:ilvl w:val="0"/>
          <w:numId w:val="1157"/>
        </w:numPr>
      </w:pPr>
      <w:hyperlink r:id="rId703">
        <w:r>
          <w:rPr>
            <w:rStyle w:val="Hyperlink"/>
          </w:rPr>
          <w:t xml:space="preserve">curatedTCGAData</w:t>
        </w:r>
      </w:hyperlink>
    </w:p>
    <w:p>
      <w:pPr>
        <w:numPr>
          <w:ilvl w:val="0"/>
          <w:numId w:val="1157"/>
        </w:numPr>
      </w:pPr>
      <w:hyperlink r:id="rId704">
        <w:r>
          <w:rPr>
            <w:rStyle w:val="Hyperlink"/>
          </w:rPr>
          <w:t xml:space="preserve">cBioPortalData</w:t>
        </w:r>
      </w:hyperlink>
    </w:p>
    <w:p>
      <w:pPr>
        <w:numPr>
          <w:ilvl w:val="0"/>
          <w:numId w:val="1157"/>
        </w:numPr>
      </w:pPr>
      <w:hyperlink r:id="rId705">
        <w:r>
          <w:rPr>
            <w:rStyle w:val="Hyperlink"/>
          </w:rPr>
          <w:t xml:space="preserve">SingleCellMultiModal</w:t>
        </w:r>
      </w:hyperlink>
    </w:p>
    <w:bookmarkEnd w:id="706"/>
    <w:bookmarkEnd w:id="707"/>
    <w:bookmarkStart w:id="708"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08"/>
    <w:bookmarkStart w:id="710" w:name="civic"/>
    <w:p>
      <w:pPr>
        <w:pStyle w:val="Heading2"/>
      </w:pPr>
      <w:r>
        <w:rPr>
          <w:rStyle w:val="SectionNumber"/>
        </w:rPr>
        <w:t xml:space="preserve">20.4</w:t>
      </w:r>
      <w:r>
        <w:tab/>
      </w:r>
      <w:r>
        <w:t xml:space="preserve">CIViC</w:t>
      </w:r>
    </w:p>
    <w:p>
      <w:pPr>
        <w:pStyle w:val="FirstParagraph"/>
      </w:pPr>
      <w:hyperlink r:id="rId70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10"/>
    <w:bookmarkStart w:id="711"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11"/>
    <w:bookmarkStart w:id="713" w:name="deepphe"/>
    <w:p>
      <w:pPr>
        <w:pStyle w:val="Heading2"/>
      </w:pPr>
      <w:r>
        <w:rPr>
          <w:rStyle w:val="SectionNumber"/>
        </w:rPr>
        <w:t xml:space="preserve">20.6</w:t>
      </w:r>
      <w:r>
        <w:tab/>
      </w:r>
      <w:r>
        <w:t xml:space="preserve">DeepPhe</w:t>
      </w:r>
    </w:p>
    <w:p>
      <w:pPr>
        <w:pStyle w:val="FirstParagraph"/>
      </w:pPr>
      <w:hyperlink r:id="rId71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58"/>
        </w:numPr>
        <w:pStyle w:val="Compact"/>
      </w:pPr>
      <w:r>
        <w:t xml:space="preserve">multiple natural language processing (NLP) techniques based on cTAKES,1</w:t>
      </w:r>
      <w:r>
        <w:br/>
      </w:r>
    </w:p>
    <w:p>
      <w:pPr>
        <w:numPr>
          <w:ilvl w:val="0"/>
          <w:numId w:val="1158"/>
        </w:numPr>
        <w:pStyle w:val="Compact"/>
      </w:pPr>
      <w:r>
        <w:t xml:space="preserve">a structured cancer information model including concepts from the NCIT and the HemOnc ontology</w:t>
      </w:r>
    </w:p>
    <w:p>
      <w:pPr>
        <w:numPr>
          <w:ilvl w:val="0"/>
          <w:numId w:val="115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5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5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12">
        <w:r>
          <w:rPr>
            <w:rStyle w:val="Hyperlink"/>
          </w:rPr>
          <w:t xml:space="preserve">DeepPhe website</w:t>
        </w:r>
      </w:hyperlink>
      <w:r>
        <w:t xml:space="preserve"> </w:t>
      </w:r>
      <w:r>
        <w:t xml:space="preserve">under an open-source license for non-commercial use.</w:t>
      </w:r>
    </w:p>
    <w:bookmarkEnd w:id="713"/>
    <w:bookmarkStart w:id="715" w:name="genetic-cancer-risk-detector-garde"/>
    <w:p>
      <w:pPr>
        <w:pStyle w:val="Heading2"/>
      </w:pPr>
      <w:r>
        <w:rPr>
          <w:rStyle w:val="SectionNumber"/>
        </w:rPr>
        <w:t xml:space="preserve">20.7</w:t>
      </w:r>
      <w:r>
        <w:tab/>
      </w:r>
      <w:r>
        <w:t xml:space="preserve">Genetic Cancer Risk Detector (GARDE)</w:t>
      </w:r>
    </w:p>
    <w:p>
      <w:pPr>
        <w:pStyle w:val="FirstParagraph"/>
      </w:pPr>
      <w:hyperlink r:id="rId71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15"/>
    <w:bookmarkStart w:id="716"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16"/>
    <w:bookmarkStart w:id="717"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17"/>
    <w:bookmarkStart w:id="720"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1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1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20"/>
    <w:bookmarkStart w:id="721"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21"/>
    <w:bookmarkStart w:id="722" w:name="multiassayexperiment"/>
    <w:p>
      <w:pPr>
        <w:pStyle w:val="Heading2"/>
      </w:pPr>
      <w:r>
        <w:rPr>
          <w:rStyle w:val="SectionNumber"/>
        </w:rPr>
        <w:t xml:space="preserve">20.12</w:t>
      </w:r>
      <w:r>
        <w:tab/>
      </w:r>
      <w:r>
        <w:t xml:space="preserve">MultiAssayExperiment</w:t>
      </w:r>
    </w:p>
    <w:p>
      <w:pPr>
        <w:pStyle w:val="FirstParagraph"/>
      </w:pPr>
      <w:hyperlink r:id="rId70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03">
        <w:r>
          <w:rPr>
            <w:rStyle w:val="Hyperlink"/>
          </w:rPr>
          <w:t xml:space="preserve">curatedTCGAData</w:t>
        </w:r>
      </w:hyperlink>
      <w:r>
        <w:t xml:space="preserve">,</w:t>
      </w:r>
      <w:r>
        <w:t xml:space="preserve"> </w:t>
      </w:r>
      <w:hyperlink r:id="rId704">
        <w:r>
          <w:rPr>
            <w:rStyle w:val="Hyperlink"/>
          </w:rPr>
          <w:t xml:space="preserve">cBioPortalData</w:t>
        </w:r>
      </w:hyperlink>
      <w:r>
        <w:t xml:space="preserve">, or</w:t>
      </w:r>
      <w:r>
        <w:t xml:space="preserve"> </w:t>
      </w:r>
      <w:hyperlink r:id="rId705">
        <w:r>
          <w:rPr>
            <w:rStyle w:val="Hyperlink"/>
          </w:rPr>
          <w:t xml:space="preserve">SingleCellMultiModal</w:t>
        </w:r>
      </w:hyperlink>
      <w:r>
        <w:t xml:space="preserve">.</w:t>
      </w:r>
    </w:p>
    <w:bookmarkEnd w:id="722"/>
    <w:bookmarkStart w:id="724"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23">
        <w:r>
          <w:rPr>
            <w:rStyle w:val="Hyperlink"/>
          </w:rPr>
          <w:t xml:space="preserve">https://run.opencravat.org/webapps/variantreport/index.html?chrom=chr11&amp;pos=48123823&amp;ref_base=A&amp;alt_base=C</w:t>
        </w:r>
      </w:hyperlink>
      <w:r>
        <w:t xml:space="preserve"> </w:t>
      </w:r>
      <w:r>
        <w:t xml:space="preserve">)</w:t>
      </w:r>
    </w:p>
    <w:bookmarkEnd w:id="724"/>
    <w:bookmarkStart w:id="725"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25"/>
    <w:bookmarkStart w:id="727"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26">
        <w:r>
          <w:rPr>
            <w:rStyle w:val="Hyperlink"/>
          </w:rPr>
          <w:t xml:space="preserve">https://doi.org/10.1016/j.softx.2022.101072</w:t>
        </w:r>
      </w:hyperlink>
      <w:r>
        <w:t xml:space="preserve">.</w:t>
      </w:r>
    </w:p>
    <w:bookmarkEnd w:id="727"/>
    <w:bookmarkStart w:id="728"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28"/>
    <w:bookmarkStart w:id="732"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31" w:name="X2903c352b7590b5af316fcaa0f564817eec5c92"/>
    <w:p>
      <w:pPr>
        <w:pStyle w:val="Heading3"/>
      </w:pPr>
      <w:r>
        <w:rPr>
          <w:rStyle w:val="SectionNumber"/>
        </w:rPr>
        <w:t xml:space="preserve">20.17.1</w:t>
      </w:r>
      <w:r>
        <w:tab/>
      </w:r>
      <w:r>
        <w:t xml:space="preserve">Questions Xena can help you answer include:</w:t>
      </w:r>
    </w:p>
    <w:p>
      <w:pPr>
        <w:numPr>
          <w:ilvl w:val="0"/>
          <w:numId w:val="1159"/>
        </w:numPr>
        <w:pStyle w:val="Compact"/>
      </w:pPr>
      <w:r>
        <w:t xml:space="preserve">Is overexpression of this gene associated with better survival?</w:t>
      </w:r>
    </w:p>
    <w:p>
      <w:pPr>
        <w:numPr>
          <w:ilvl w:val="0"/>
          <w:numId w:val="1159"/>
        </w:numPr>
        <w:pStyle w:val="Compact"/>
      </w:pPr>
      <w:r>
        <w:t xml:space="preserve">What genes are differentially expressed between these two groups of samples?</w:t>
      </w:r>
    </w:p>
    <w:p>
      <w:pPr>
        <w:numPr>
          <w:ilvl w:val="0"/>
          <w:numId w:val="115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29">
        <w:r>
          <w:rPr>
            <w:rStyle w:val="Hyperlink"/>
          </w:rPr>
          <w:t xml:space="preserve">https://ucsc-xena.gitbook.io/project/tutorials</w:t>
        </w:r>
      </w:hyperlink>
      <w:r>
        <w:t xml:space="preserve">. If you use us please cite us:</w:t>
      </w:r>
      <w:r>
        <w:t xml:space="preserve"> </w:t>
      </w:r>
      <w:hyperlink r:id="rId730">
        <w:r>
          <w:rPr>
            <w:rStyle w:val="Hyperlink"/>
          </w:rPr>
          <w:t xml:space="preserve">https://www.nature.com/articles/s41587-020-0546-8</w:t>
        </w:r>
      </w:hyperlink>
    </w:p>
    <w:bookmarkEnd w:id="731"/>
    <w:bookmarkEnd w:id="732"/>
    <w:bookmarkEnd w:id="733"/>
    <w:bookmarkStart w:id="747" w:name="about-the-authors"/>
    <w:p>
      <w:pPr>
        <w:pStyle w:val="Heading1"/>
      </w:pPr>
      <w:r>
        <w:t xml:space="preserve">About the Authors</w:t>
      </w:r>
    </w:p>
    <w:p>
      <w:pPr>
        <w:pStyle w:val="FirstParagraph"/>
      </w:pPr>
      <w:r>
        <w:t xml:space="preserve">These credits are based on our</w:t>
      </w:r>
      <w:r>
        <w:t xml:space="preserve"> </w:t>
      </w:r>
      <w:hyperlink r:id="rId7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35">
              <w:r>
                <w:rPr>
                  <w:rStyle w:val="Hyperlink"/>
                </w:rPr>
                <w:t xml:space="preserve">Candace Savonen</w:t>
              </w:r>
            </w:hyperlink>
          </w:p>
        </w:tc>
      </w:tr>
      <w:tr>
        <w:tc>
          <w:tcPr/>
          <w:p>
            <w:pPr>
              <w:pStyle w:val="Compact"/>
              <w:jc w:val="left"/>
            </w:pPr>
            <w:r>
              <w:t xml:space="preserve">Lecturer(s)</w:t>
            </w:r>
          </w:p>
        </w:tc>
        <w:tc>
          <w:tcPr/>
          <w:p>
            <w:pPr>
              <w:pStyle w:val="Compact"/>
              <w:jc w:val="left"/>
            </w:pPr>
            <w:hyperlink r:id="rId73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36">
              <w:r>
                <w:rPr>
                  <w:rStyle w:val="Hyperlink"/>
                </w:rPr>
                <w:t xml:space="preserve">Cailin Jordan</w:t>
              </w:r>
            </w:hyperlink>
            <w:r>
              <w:t xml:space="preserve"> </w:t>
            </w:r>
            <w:r>
              <w:t xml:space="preserve">- sc-ATAC-Seq,</w:t>
            </w:r>
            <w:r>
              <w:t xml:space="preserve"> </w:t>
            </w:r>
            <w:hyperlink r:id="rId737">
              <w:r>
                <w:rPr>
                  <w:rStyle w:val="Hyperlink"/>
                </w:rPr>
                <w:t xml:space="preserve">Carrie Wright</w:t>
              </w:r>
            </w:hyperlink>
            <w:r>
              <w:t xml:space="preserve">,</w:t>
            </w:r>
            <w:r>
              <w:t xml:space="preserve"> </w:t>
            </w:r>
            <w:hyperlink r:id="rId738">
              <w:r>
                <w:rPr>
                  <w:rStyle w:val="Hyperlink"/>
                </w:rPr>
                <w:t xml:space="preserve">Claire Mills</w:t>
              </w:r>
            </w:hyperlink>
            <w:r>
              <w:t xml:space="preserve"> </w:t>
            </w:r>
            <w:r>
              <w:t xml:space="preserve">- Whole Genome Sequencing,</w:t>
            </w:r>
            <w:r>
              <w:t xml:space="preserve"> </w:t>
            </w:r>
            <w:hyperlink r:id="rId739">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4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37">
              <w:r>
                <w:rPr>
                  <w:rStyle w:val="Hyperlink"/>
                </w:rPr>
                <w:t xml:space="preserve">Carrie Wright</w:t>
              </w:r>
            </w:hyperlink>
            <w:r>
              <w:t xml:space="preserve">,</w:t>
            </w:r>
            <w:r>
              <w:t xml:space="preserve"> </w:t>
            </w:r>
            <w:hyperlink r:id="rId741">
              <w:r>
                <w:rPr>
                  <w:rStyle w:val="Hyperlink"/>
                </w:rPr>
                <w:t xml:space="preserve">Cliff Meyer</w:t>
              </w:r>
            </w:hyperlink>
            <w:r>
              <w:t xml:space="preserve"> </w:t>
            </w:r>
            <w:r>
              <w:t xml:space="preserve">- ATAC-seq,</w:t>
            </w:r>
            <w:r>
              <w:t xml:space="preserve"> </w:t>
            </w:r>
            <w:hyperlink r:id="rId74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4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4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35">
              <w:r>
                <w:rPr>
                  <w:rStyle w:val="Hyperlink"/>
                </w:rPr>
                <w:t xml:space="preserve">Candace Savonen</w:t>
              </w:r>
            </w:hyperlink>
            <w:r>
              <w:t xml:space="preserve">,</w:t>
            </w:r>
            <w:r>
              <w:t xml:space="preserve"> </w:t>
            </w:r>
            <w:hyperlink r:id="rId73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37">
              <w:r>
                <w:rPr>
                  <w:rStyle w:val="Hyperlink"/>
                </w:rPr>
                <w:t xml:space="preserve">Carrie Wright</w:t>
              </w:r>
            </w:hyperlink>
            <w:r>
              <w:t xml:space="preserve">,</w:t>
            </w:r>
            <w:r>
              <w:t xml:space="preserve"> </w:t>
            </w:r>
            <w:hyperlink r:id="rId735">
              <w:r>
                <w:rPr>
                  <w:rStyle w:val="Hyperlink"/>
                </w:rPr>
                <w:t xml:space="preserve">Candace Savonen</w:t>
              </w:r>
            </w:hyperlink>
          </w:p>
        </w:tc>
      </w:tr>
      <w:tr>
        <w:tc>
          <w:tcPr/>
          <w:p>
            <w:pPr>
              <w:pStyle w:val="Compact"/>
              <w:jc w:val="left"/>
            </w:pPr>
            <w:r>
              <w:t xml:space="preserve">Package Developers (</w:t>
            </w:r>
            <w:hyperlink r:id="rId744">
              <w:r>
                <w:rPr>
                  <w:rStyle w:val="Hyperlink"/>
                </w:rPr>
                <w:t xml:space="preserve">ottrpal</w:t>
              </w:r>
            </w:hyperlink>
            <w:r>
              <w:t xml:space="preserve">)</w:t>
            </w:r>
            <w:hyperlink r:id="rId735">
              <w:r>
                <w:rPr>
                  <w:rStyle w:val="Hyperlink"/>
                </w:rPr>
                <w:t xml:space="preserve">Candace Savonen</w:t>
              </w:r>
            </w:hyperlink>
            <w:r>
              <w:t xml:space="preserve">,</w:t>
            </w:r>
            <w:r>
              <w:t xml:space="preserve"> </w:t>
            </w:r>
            <w:hyperlink r:id="rId745">
              <w:r>
                <w:rPr>
                  <w:rStyle w:val="Hyperlink"/>
                </w:rPr>
                <w:t xml:space="preserve">John Muschelli</w:t>
              </w:r>
            </w:hyperlink>
            <w:r>
              <w:t xml:space="preserve">,</w:t>
            </w:r>
            <w:r>
              <w:t xml:space="preserve"> </w:t>
            </w:r>
            <w:hyperlink r:id="rId73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3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35">
              <w:r>
                <w:rPr>
                  <w:rStyle w:val="Hyperlink"/>
                </w:rPr>
                <w:t xml:space="preserve">Candace Savonen</w:t>
              </w:r>
            </w:hyperlink>
            <w:r>
              <w:t xml:space="preserve"> </w:t>
            </w:r>
            <w:r>
              <w:t xml:space="preserve">and</w:t>
            </w:r>
            <w:r>
              <w:t xml:space="preserve"> </w:t>
            </w:r>
            <w:hyperlink r:id="rId738">
              <w:r>
                <w:rPr>
                  <w:rStyle w:val="Hyperlink"/>
                </w:rPr>
                <w:t xml:space="preserve">Claire Mills</w:t>
              </w:r>
            </w:hyperlink>
          </w:p>
        </w:tc>
      </w:tr>
      <w:tr>
        <w:tc>
          <w:tcPr/>
          <w:p>
            <w:pPr>
              <w:pStyle w:val="Compact"/>
              <w:jc w:val="left"/>
            </w:pPr>
            <w:r>
              <w:t xml:space="preserve">Videographer</w:t>
            </w:r>
          </w:p>
        </w:tc>
        <w:tc>
          <w:tcPr/>
          <w:p>
            <w:pPr>
              <w:pStyle w:val="Compact"/>
              <w:jc w:val="left"/>
            </w:pPr>
            <w:hyperlink r:id="rId73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3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46">
              <w:r>
                <w:rPr>
                  <w:rStyle w:val="Hyperlink"/>
                </w:rPr>
                <w:t xml:space="preserve">Sandy Ormbrek</w:t>
              </w:r>
            </w:hyperlink>
            <w:r>
              <w:t xml:space="preserve">,</w:t>
            </w:r>
            <w:r>
              <w:t xml:space="preserve"> </w:t>
            </w:r>
            <w:hyperlink r:id="rId74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47"/>
    <w:bookmarkStart w:id="837" w:name="references"/>
    <w:p>
      <w:pPr>
        <w:pStyle w:val="Heading1"/>
      </w:pPr>
      <w:r>
        <w:t xml:space="preserve">References</w:t>
      </w:r>
    </w:p>
    <w:bookmarkStart w:id="836" w:name="refs"/>
    <w:bookmarkStart w:id="74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48">
        <w:r>
          <w:rPr>
            <w:rStyle w:val="Hyperlink"/>
          </w:rPr>
          <w:t xml:space="preserve">https://genomebiology.biomedcentral.com/articles/10.1186/gb-2012-13-10-r87</w:t>
        </w:r>
      </w:hyperlink>
      <w:r>
        <w:t xml:space="preserve">.</w:t>
      </w:r>
    </w:p>
    <w:bookmarkEnd w:id="749"/>
    <w:bookmarkStart w:id="751" w:name="ref-AlexsLemonade2022"/>
    <w:p>
      <w:pPr>
        <w:pStyle w:val="Bibliography"/>
      </w:pPr>
      <w:r>
        <w:t xml:space="preserve">“Alex’s Lemonade Training Modules.”</w:t>
      </w:r>
      <w:r>
        <w:t xml:space="preserve"> </w:t>
      </w:r>
      <w:r>
        <w:t xml:space="preserve">2022.</w:t>
      </w:r>
      <w:r>
        <w:t xml:space="preserve"> </w:t>
      </w:r>
      <w:hyperlink r:id="rId750">
        <w:r>
          <w:rPr>
            <w:rStyle w:val="Hyperlink"/>
          </w:rPr>
          <w:t xml:space="preserve">https://github.com/AlexsLemonade/training-modules</w:t>
        </w:r>
      </w:hyperlink>
      <w:r>
        <w:t xml:space="preserve">.</w:t>
      </w:r>
    </w:p>
    <w:bookmarkEnd w:id="751"/>
    <w:bookmarkStart w:id="753" w:name="ref-refinebioexamples2019"/>
    <w:p>
      <w:pPr>
        <w:pStyle w:val="Bibliography"/>
      </w:pPr>
      <w:r>
        <w:t xml:space="preserve">ALSF, CCDL for. 2019.</w:t>
      </w:r>
      <w:r>
        <w:t xml:space="preserve"> </w:t>
      </w:r>
      <w:r>
        <w:t xml:space="preserve">“Introduction to Microarray Data.”</w:t>
      </w:r>
      <w:r>
        <w:t xml:space="preserve"> </w:t>
      </w:r>
      <w:hyperlink r:id="rId752">
        <w:r>
          <w:rPr>
            <w:rStyle w:val="Hyperlink"/>
          </w:rPr>
          <w:t xml:space="preserve">https://alexslemonade.github.io/refinebio-examples/02-microarray/00-intro-to-microarray.html</w:t>
        </w:r>
      </w:hyperlink>
      <w:r>
        <w:t xml:space="preserve">.</w:t>
      </w:r>
    </w:p>
    <w:bookmarkEnd w:id="753"/>
    <w:bookmarkStart w:id="75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54"/>
    <w:bookmarkStart w:id="75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55">
        <w:r>
          <w:rPr>
            <w:rStyle w:val="Hyperlink"/>
          </w:rPr>
          <w:t xml:space="preserve">https://doi.org/10.1016/j.coisb.2017.07.004</w:t>
        </w:r>
      </w:hyperlink>
      <w:r>
        <w:t xml:space="preserve">.</w:t>
      </w:r>
    </w:p>
    <w:bookmarkEnd w:id="756"/>
    <w:bookmarkStart w:id="75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57"/>
    <w:bookmarkStart w:id="75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58">
        <w:r>
          <w:rPr>
            <w:rStyle w:val="Hyperlink"/>
          </w:rPr>
          <w:t xml:space="preserve">https://doi.org/10.1038/nature07517</w:t>
        </w:r>
      </w:hyperlink>
      <w:r>
        <w:t xml:space="preserve">.</w:t>
      </w:r>
    </w:p>
    <w:bookmarkEnd w:id="759"/>
    <w:bookmarkStart w:id="76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60">
        <w:r>
          <w:rPr>
            <w:rStyle w:val="Hyperlink"/>
          </w:rPr>
          <w:t xml:space="preserve">https://doi.org/10.1016/j.csbj.2019.10.004</w:t>
        </w:r>
      </w:hyperlink>
      <w:r>
        <w:t xml:space="preserve">.</w:t>
      </w:r>
    </w:p>
    <w:bookmarkEnd w:id="761"/>
    <w:bookmarkStart w:id="76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62">
        <w:r>
          <w:rPr>
            <w:rStyle w:val="Hyperlink"/>
          </w:rPr>
          <w:t xml:space="preserve">https://doi.org/10.1038/nprot.2013.115</w:t>
        </w:r>
      </w:hyperlink>
      <w:r>
        <w:t xml:space="preserve">.</w:t>
      </w:r>
    </w:p>
    <w:bookmarkEnd w:id="763"/>
    <w:bookmarkStart w:id="76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64">
        <w:r>
          <w:rPr>
            <w:rStyle w:val="Hyperlink"/>
          </w:rPr>
          <w:t xml:space="preserve">https://www.nature.com/articles/nbt.3519</w:t>
        </w:r>
      </w:hyperlink>
      <w:r>
        <w:t xml:space="preserve">.</w:t>
      </w:r>
    </w:p>
    <w:bookmarkEnd w:id="765"/>
    <w:bookmarkStart w:id="76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66">
        <w:r>
          <w:rPr>
            <w:rStyle w:val="Hyperlink"/>
          </w:rPr>
          <w:t xml:space="preserve">https://doi.org/10.1101/2021.02.15.430948</w:t>
        </w:r>
      </w:hyperlink>
      <w:r>
        <w:t xml:space="preserve">.</w:t>
      </w:r>
    </w:p>
    <w:bookmarkEnd w:id="767"/>
    <w:bookmarkStart w:id="76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68">
        <w:r>
          <w:rPr>
            <w:rStyle w:val="Hyperlink"/>
          </w:rPr>
          <w:t xml:space="preserve">https://doi.org/10.1038/nbt.1975</w:t>
        </w:r>
      </w:hyperlink>
      <w:r>
        <w:t xml:space="preserve">.</w:t>
      </w:r>
    </w:p>
    <w:bookmarkEnd w:id="769"/>
    <w:bookmarkStart w:id="77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70">
        <w:r>
          <w:rPr>
            <w:rStyle w:val="Hyperlink"/>
          </w:rPr>
          <w:t xml:space="preserve">https://doi.org/10.1186/s13059-016-0881-8</w:t>
        </w:r>
      </w:hyperlink>
      <w:r>
        <w:t xml:space="preserve">.</w:t>
      </w:r>
    </w:p>
    <w:bookmarkEnd w:id="771"/>
    <w:bookmarkStart w:id="77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772"/>
    <w:bookmarkStart w:id="77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73">
        <w:r>
          <w:rPr>
            <w:rStyle w:val="Hyperlink"/>
          </w:rPr>
          <w:t xml:space="preserve">https://www.sciencedirect.com/science/article/pii/S2211124719312860</w:t>
        </w:r>
      </w:hyperlink>
      <w:r>
        <w:t xml:space="preserve">.</w:t>
      </w:r>
    </w:p>
    <w:bookmarkEnd w:id="774"/>
    <w:bookmarkStart w:id="77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75">
        <w:r>
          <w:rPr>
            <w:rStyle w:val="Hyperlink"/>
          </w:rPr>
          <w:t xml:space="preserve">https://academic.oup.com/bioinformatics/article/29/1/15/272537</w:t>
        </w:r>
      </w:hyperlink>
      <w:r>
        <w:t xml:space="preserve">.</w:t>
      </w:r>
    </w:p>
    <w:bookmarkEnd w:id="776"/>
    <w:bookmarkStart w:id="778"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77">
        <w:r>
          <w:rPr>
            <w:rStyle w:val="Hyperlink"/>
          </w:rPr>
          <w:t xml:space="preserve">https://pubmed.ncbi.nlm.nih.gov/26819470/</w:t>
        </w:r>
      </w:hyperlink>
      <w:r>
        <w:t xml:space="preserve">.</w:t>
      </w:r>
    </w:p>
    <w:bookmarkEnd w:id="778"/>
    <w:bookmarkStart w:id="779"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79"/>
    <w:bookmarkStart w:id="781"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80">
        <w:r>
          <w:rPr>
            <w:rStyle w:val="Hyperlink"/>
          </w:rPr>
          <w:t xml:space="preserve">https://doi.org/10.1093/bib/bbaa083</w:t>
        </w:r>
      </w:hyperlink>
      <w:r>
        <w:t xml:space="preserve">.</w:t>
      </w:r>
    </w:p>
    <w:bookmarkEnd w:id="781"/>
    <w:bookmarkStart w:id="783"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82">
        <w:r>
          <w:rPr>
            <w:rStyle w:val="Hyperlink"/>
          </w:rPr>
          <w:t xml:space="preserve">https://pubmed.ncbi.nlm.nih.gov/20513432/</w:t>
        </w:r>
      </w:hyperlink>
      <w:r>
        <w:t xml:space="preserve">.</w:t>
      </w:r>
    </w:p>
    <w:bookmarkEnd w:id="783"/>
    <w:bookmarkStart w:id="785"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84">
        <w:r>
          <w:rPr>
            <w:rStyle w:val="Hyperlink"/>
          </w:rPr>
          <w:t xml:space="preserve">https://doi.org/10.1038/s41598-019-39108-2</w:t>
        </w:r>
      </w:hyperlink>
      <w:r>
        <w:t xml:space="preserve">.</w:t>
      </w:r>
    </w:p>
    <w:bookmarkEnd w:id="785"/>
    <w:bookmarkStart w:id="786"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786"/>
    <w:bookmarkStart w:id="788"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87">
        <w:r>
          <w:rPr>
            <w:rStyle w:val="Hyperlink"/>
          </w:rPr>
          <w:t xml:space="preserve">https://www.nature.com/articles/nmeth.3317</w:t>
        </w:r>
      </w:hyperlink>
      <w:r>
        <w:t xml:space="preserve">.</w:t>
      </w:r>
    </w:p>
    <w:bookmarkEnd w:id="788"/>
    <w:bookmarkStart w:id="790" w:name="ref-Kochmanski2019"/>
    <w:p>
      <w:pPr>
        <w:pStyle w:val="Bibliography"/>
      </w:pPr>
      <w:r>
        <w:t xml:space="preserve">Kochmanski, Joseph, Candace Savonen, and Alison I. Bernstein. 2019 10.</w:t>
      </w:r>
      <w:r>
        <w:t xml:space="preserve"> </w:t>
      </w:r>
      <w:hyperlink r:id="rId789">
        <w:r>
          <w:rPr>
            <w:rStyle w:val="Hyperlink"/>
          </w:rPr>
          <w:t xml:space="preserve">https://doi.org/10.3389/fgene.2019.00801</w:t>
        </w:r>
      </w:hyperlink>
      <w:r>
        <w:t xml:space="preserve">.</w:t>
      </w:r>
    </w:p>
    <w:bookmarkEnd w:id="790"/>
    <w:bookmarkStart w:id="791"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83">
        <w:r>
          <w:rPr>
            <w:rStyle w:val="Hyperlink"/>
          </w:rPr>
          <w:t xml:space="preserve">https://www.bioinformatics.babraham.ac.uk/projects/trim_galore/</w:t>
        </w:r>
      </w:hyperlink>
      <w:r>
        <w:t xml:space="preserve">.</w:t>
      </w:r>
    </w:p>
    <w:bookmarkEnd w:id="791"/>
    <w:bookmarkStart w:id="793"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92">
        <w:r>
          <w:rPr>
            <w:rStyle w:val="Hyperlink"/>
          </w:rPr>
          <w:t xml:space="preserve">https://www.nature.com/articles/nmeth.1923</w:t>
        </w:r>
      </w:hyperlink>
      <w:r>
        <w:t xml:space="preserve">.</w:t>
      </w:r>
    </w:p>
    <w:bookmarkEnd w:id="793"/>
    <w:bookmarkStart w:id="795"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94">
        <w:r>
          <w:rPr>
            <w:rStyle w:val="Hyperlink"/>
          </w:rPr>
          <w:t xml:space="preserve">https://academic.oup.com/bioinformatics/article/27/11/1571/216956</w:t>
        </w:r>
      </w:hyperlink>
      <w:r>
        <w:t xml:space="preserve">.</w:t>
      </w:r>
    </w:p>
    <w:bookmarkEnd w:id="795"/>
    <w:bookmarkStart w:id="79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96"/>
    <w:bookmarkStart w:id="79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97">
        <w:r>
          <w:rPr>
            <w:rStyle w:val="Hyperlink"/>
          </w:rPr>
          <w:t xml:space="preserve">https://doi.org/10.12659/MSMBR.892101</w:t>
        </w:r>
      </w:hyperlink>
      <w:r>
        <w:t xml:space="preserve">.</w:t>
      </w:r>
    </w:p>
    <w:bookmarkEnd w:id="798"/>
    <w:bookmarkStart w:id="80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799">
        <w:r>
          <w:rPr>
            <w:rStyle w:val="Hyperlink"/>
          </w:rPr>
          <w:t xml:space="preserve">https://pubmed.ncbi.nlm.nih.gov/30954475/</w:t>
        </w:r>
      </w:hyperlink>
      <w:r>
        <w:t xml:space="preserve">.</w:t>
      </w:r>
    </w:p>
    <w:bookmarkEnd w:id="800"/>
    <w:bookmarkStart w:id="80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01">
        <w:r>
          <w:rPr>
            <w:rStyle w:val="Hyperlink"/>
          </w:rPr>
          <w:t xml:space="preserve">https://doi.org/10.1016/j.ygeno.2018.05.004</w:t>
        </w:r>
      </w:hyperlink>
      <w:r>
        <w:t xml:space="preserve">.</w:t>
      </w:r>
    </w:p>
    <w:bookmarkEnd w:id="802"/>
    <w:bookmarkStart w:id="80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03"/>
    <w:bookmarkStart w:id="80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04">
        <w:r>
          <w:rPr>
            <w:rStyle w:val="Hyperlink"/>
          </w:rPr>
          <w:t xml:space="preserve">https://pubmed.ncbi.nlm.nih.gov/28263959/</w:t>
        </w:r>
      </w:hyperlink>
      <w:r>
        <w:t xml:space="preserve">.</w:t>
      </w:r>
    </w:p>
    <w:bookmarkEnd w:id="805"/>
    <w:bookmarkStart w:id="80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06">
        <w:r>
          <w:rPr>
            <w:rStyle w:val="Hyperlink"/>
          </w:rPr>
          <w:t xml:space="preserve">https://doi.org/10.1038/nmeth.4402</w:t>
        </w:r>
      </w:hyperlink>
      <w:r>
        <w:t xml:space="preserve">.</w:t>
      </w:r>
    </w:p>
    <w:bookmarkEnd w:id="807"/>
    <w:bookmarkStart w:id="80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08"/>
    <w:bookmarkStart w:id="810"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09">
        <w:r>
          <w:rPr>
            <w:rStyle w:val="Hyperlink"/>
          </w:rPr>
          <w:t xml:space="preserve">https://www.nature.com/articles/nmeth.4401</w:t>
        </w:r>
      </w:hyperlink>
      <w:r>
        <w:t xml:space="preserve">.</w:t>
      </w:r>
    </w:p>
    <w:bookmarkEnd w:id="810"/>
    <w:bookmarkStart w:id="812"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11">
        <w:r>
          <w:rPr>
            <w:rStyle w:val="Hyperlink"/>
          </w:rPr>
          <w:t xml:space="preserve">https://doi.org/10.1038/s41587-019-0068-4</w:t>
        </w:r>
      </w:hyperlink>
      <w:r>
        <w:t xml:space="preserve">.</w:t>
      </w:r>
    </w:p>
    <w:bookmarkEnd w:id="812"/>
    <w:bookmarkStart w:id="814"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13">
        <w:r>
          <w:rPr>
            <w:rStyle w:val="Hyperlink"/>
          </w:rPr>
          <w:t xml:space="preserve">https://doi.org/10.1038/nrg3642</w:t>
        </w:r>
      </w:hyperlink>
      <w:r>
        <w:t xml:space="preserve">.</w:t>
      </w:r>
    </w:p>
    <w:bookmarkEnd w:id="814"/>
    <w:bookmarkStart w:id="815"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15"/>
    <w:bookmarkStart w:id="816"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16"/>
    <w:bookmarkStart w:id="817"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17"/>
    <w:bookmarkStart w:id="819"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18">
        <w:r>
          <w:rPr>
            <w:rStyle w:val="Hyperlink"/>
          </w:rPr>
          <w:t xml:space="preserve">https://doi.org/10.1186/s12864-018-4772-0</w:t>
        </w:r>
      </w:hyperlink>
      <w:r>
        <w:t xml:space="preserve">.</w:t>
      </w:r>
    </w:p>
    <w:bookmarkEnd w:id="819"/>
    <w:bookmarkStart w:id="82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20">
        <w:r>
          <w:rPr>
            <w:rStyle w:val="Hyperlink"/>
          </w:rPr>
          <w:t xml:space="preserve">https://doi.org/10.1016/j.ajog.2006.07.001</w:t>
        </w:r>
      </w:hyperlink>
      <w:r>
        <w:t xml:space="preserve">.</w:t>
      </w:r>
    </w:p>
    <w:bookmarkEnd w:id="821"/>
    <w:bookmarkStart w:id="82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22">
        <w:r>
          <w:rPr>
            <w:rStyle w:val="Hyperlink"/>
          </w:rPr>
          <w:t xml:space="preserve">https://doi.org/10.1186/s13059-019-1663-x</w:t>
        </w:r>
      </w:hyperlink>
      <w:r>
        <w:t xml:space="preserve">.</w:t>
      </w:r>
    </w:p>
    <w:bookmarkEnd w:id="823"/>
    <w:bookmarkStart w:id="82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24">
        <w:r>
          <w:rPr>
            <w:rStyle w:val="Hyperlink"/>
          </w:rPr>
          <w:t xml:space="preserve">https://pubmed.ncbi.nlm.nih.gov/30954476/</w:t>
        </w:r>
      </w:hyperlink>
      <w:r>
        <w:t xml:space="preserve">.</w:t>
      </w:r>
    </w:p>
    <w:bookmarkEnd w:id="825"/>
    <w:bookmarkStart w:id="82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26">
        <w:r>
          <w:rPr>
            <w:rStyle w:val="Hyperlink"/>
          </w:rPr>
          <w:t xml:space="preserve">https://doi.org/10.1038/nprot.2012.137</w:t>
        </w:r>
      </w:hyperlink>
      <w:r>
        <w:t xml:space="preserve">.</w:t>
      </w:r>
    </w:p>
    <w:bookmarkEnd w:id="827"/>
    <w:bookmarkStart w:id="82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28">
        <w:r>
          <w:rPr>
            <w:rStyle w:val="Hyperlink"/>
          </w:rPr>
          <w:t xml:space="preserve">https://doi.org/10.1186/s13059-015-0694-1</w:t>
        </w:r>
      </w:hyperlink>
      <w:r>
        <w:t xml:space="preserve">.</w:t>
      </w:r>
    </w:p>
    <w:bookmarkEnd w:id="829"/>
    <w:bookmarkStart w:id="83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30">
        <w:r>
          <w:rPr>
            <w:rStyle w:val="Hyperlink"/>
          </w:rPr>
          <w:t xml:space="preserve">https://genomebiology.biomedcentral.com/articles/10.1186/gb-2008-9-9-r137</w:t>
        </w:r>
      </w:hyperlink>
      <w:r>
        <w:t xml:space="preserve">.</w:t>
      </w:r>
    </w:p>
    <w:bookmarkEnd w:id="831"/>
    <w:bookmarkStart w:id="83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32">
        <w:r>
          <w:rPr>
            <w:rStyle w:val="Hyperlink"/>
          </w:rPr>
          <w:t xml:space="preserve">https://www.nature.com/articles/ncomms14049</w:t>
        </w:r>
      </w:hyperlink>
      <w:r>
        <w:t xml:space="preserve">.</w:t>
      </w:r>
    </w:p>
    <w:bookmarkEnd w:id="833"/>
    <w:bookmarkStart w:id="83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34">
        <w:r>
          <w:rPr>
            <w:rStyle w:val="Hyperlink"/>
          </w:rPr>
          <w:t xml:space="preserve">https://doi.org/10.1186/s13059-016-1044-7</w:t>
        </w:r>
      </w:hyperlink>
      <w:r>
        <w:t xml:space="preserve">.</w:t>
      </w:r>
    </w:p>
    <w:bookmarkEnd w:id="835"/>
    <w:bookmarkEnd w:id="836"/>
    <w:bookmarkEnd w:id="8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70" Target="media/rId670.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2023-07-11T20:10:18Z</dcterms:created>
  <dcterms:modified xsi:type="dcterms:W3CDTF">2023-07-11T20:10:18Z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